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georges-river-profile"/>
    <w:p>
      <w:pPr>
        <w:pStyle w:val="Heading1"/>
      </w:pPr>
      <w:r>
        <w:t xml:space="preserve">Georges River Profile</w:t>
      </w:r>
    </w:p>
    <w:p>
      <w:pPr>
        <w:pStyle w:val="FirstParagraph"/>
      </w:pPr>
      <w:r>
        <w:t xml:space="preserve">Report generated on 01 October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153,055          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Georges River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85,772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p>
      <w:pPr>
        <w:pStyle w:val="FirstParagraph"/>
      </w:pPr>
      <w:r>
        <w:t xml:space="preserve">The percentage (%) in this table represents the proportion of the population currently receiving support payments.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Georges River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 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9%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9%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 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 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1.7%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$47,928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$8,468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82,605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14,490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4,705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4,378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3,418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16,332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16,544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 (DRA)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925,179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Australian Government Disaster Recovery Payments (AGDRP)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54,935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83,637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60,513,725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1,342,840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Supplementary - Australian Government Disaster Recovery Payments (AGDRP)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Top-Up - Disaster recovery allowance (DRA)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2024-10-01T05:47:27Z</dcterms:created>
  <dcterms:modified xsi:type="dcterms:W3CDTF">2024-10-01T05:47:27Z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