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FC" w:rsidRPr="00765BC3" w:rsidRDefault="001E2EFC" w:rsidP="00BD6DF6">
      <w:pPr>
        <w:spacing w:after="120"/>
        <w:ind w:left="-1134"/>
        <w:rPr>
          <w:sz w:val="2"/>
          <w:szCs w:val="2"/>
        </w:rPr>
      </w:pPr>
      <w:bookmarkStart w:id="0" w:name="_GoBack"/>
      <w:bookmarkEnd w:id="0"/>
    </w:p>
    <w:p w:rsidR="00294BB8" w:rsidRPr="00374442" w:rsidRDefault="00294BB8" w:rsidP="00374442">
      <w:pPr>
        <w:pStyle w:val="Subtitle"/>
        <w:spacing w:before="360" w:after="240"/>
        <w:rPr>
          <w:sz w:val="38"/>
          <w:szCs w:val="38"/>
        </w:rPr>
      </w:pPr>
      <w:r w:rsidRPr="00374442">
        <w:rPr>
          <w:sz w:val="38"/>
          <w:szCs w:val="38"/>
        </w:rPr>
        <w:t>Disaster Recovery Funding Arrangements 2018</w:t>
      </w:r>
    </w:p>
    <w:sdt>
      <w:sdtPr>
        <w:rPr>
          <w:color w:val="003E5A"/>
          <w:sz w:val="36"/>
          <w:szCs w:val="60"/>
        </w:rPr>
        <w:alias w:val="Title"/>
        <w:tag w:val="Title"/>
        <w:id w:val="-1638323608"/>
        <w:placeholder>
          <w:docPart w:val="A9D134BEC9094E2AA2D39710CF65AD83"/>
        </w:placeholder>
        <w:dataBinding w:xpath="/root[1]/Title[1]" w:storeItemID="{00000000-0000-0000-0000-000000000000}"/>
        <w:text w:multiLine="1"/>
      </w:sdtPr>
      <w:sdtEndPr/>
      <w:sdtContent>
        <w:p w:rsidR="00374442" w:rsidRPr="00FF1C0D" w:rsidRDefault="000F726B" w:rsidP="00374442">
          <w:pPr>
            <w:pStyle w:val="Title"/>
            <w:rPr>
              <w:color w:val="003E5A"/>
            </w:rPr>
          </w:pPr>
          <w:r w:rsidRPr="00FF1C0D">
            <w:rPr>
              <w:color w:val="003E5A"/>
              <w:sz w:val="36"/>
              <w:szCs w:val="60"/>
            </w:rPr>
            <w:t>Guideline 5 – Process for determining a terrorist act is an eligible disaster</w:t>
          </w:r>
        </w:p>
      </w:sdtContent>
    </w:sdt>
    <w:p w:rsidR="00E43EEF" w:rsidRPr="001D7AC6" w:rsidRDefault="00E43EEF" w:rsidP="001D7AC6">
      <w:pPr>
        <w:pStyle w:val="Heading1"/>
        <w:rPr>
          <w:sz w:val="28"/>
        </w:rPr>
      </w:pPr>
      <w:r w:rsidRPr="001D7AC6">
        <w:rPr>
          <w:sz w:val="28"/>
        </w:rPr>
        <w:t>Process for determining a terrorist act is an eligible disaster</w:t>
      </w:r>
    </w:p>
    <w:p w:rsidR="00E43EEF" w:rsidRPr="00E43EEF" w:rsidRDefault="00E43EEF" w:rsidP="00E43EEF">
      <w:pPr>
        <w:pStyle w:val="Bullet1"/>
        <w:spacing w:before="60" w:after="120"/>
        <w:ind w:left="357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E43EEF">
        <w:rPr>
          <w:rFonts w:asciiTheme="majorHAnsi" w:hAnsiTheme="majorHAnsi" w:cstheme="majorHAnsi"/>
          <w:sz w:val="20"/>
          <w:szCs w:val="20"/>
        </w:rPr>
        <w:t xml:space="preserve">The </w:t>
      </w:r>
      <w:r w:rsidRPr="00107EFC">
        <w:rPr>
          <w:rFonts w:asciiTheme="majorHAnsi" w:hAnsiTheme="majorHAnsi" w:cstheme="majorHAnsi"/>
          <w:i/>
          <w:sz w:val="20"/>
          <w:szCs w:val="20"/>
        </w:rPr>
        <w:t>Criminal Code Act 1995</w:t>
      </w:r>
      <w:r w:rsidRPr="00E43EEF">
        <w:rPr>
          <w:rFonts w:asciiTheme="majorHAnsi" w:hAnsiTheme="majorHAnsi" w:cstheme="majorHAnsi"/>
          <w:sz w:val="20"/>
          <w:szCs w:val="20"/>
        </w:rPr>
        <w:t xml:space="preserve"> (the Code) provides a definition of a </w:t>
      </w:r>
      <w:r w:rsidRPr="00107EFC">
        <w:rPr>
          <w:rFonts w:asciiTheme="majorHAnsi" w:hAnsiTheme="majorHAnsi" w:cstheme="majorHAnsi"/>
          <w:sz w:val="20"/>
          <w:szCs w:val="20"/>
        </w:rPr>
        <w:t>terrorist act</w:t>
      </w:r>
      <w:r w:rsidRPr="00E43EEF">
        <w:rPr>
          <w:rFonts w:asciiTheme="majorHAnsi" w:hAnsiTheme="majorHAnsi" w:cstheme="majorHAnsi"/>
          <w:sz w:val="20"/>
          <w:szCs w:val="20"/>
        </w:rPr>
        <w:t xml:space="preserve">. An onshore act of terrorism can be declared under the </w:t>
      </w:r>
      <w:r w:rsidRPr="00107EFC">
        <w:rPr>
          <w:rFonts w:asciiTheme="majorHAnsi" w:hAnsiTheme="majorHAnsi" w:cstheme="majorHAnsi"/>
          <w:i/>
          <w:sz w:val="20"/>
          <w:szCs w:val="20"/>
        </w:rPr>
        <w:t>Terrorism Insurance Act 2003</w:t>
      </w:r>
      <w:r w:rsidRPr="00E43EEF">
        <w:rPr>
          <w:rFonts w:asciiTheme="majorHAnsi" w:hAnsiTheme="majorHAnsi" w:cstheme="majorHAnsi"/>
          <w:sz w:val="20"/>
          <w:szCs w:val="20"/>
        </w:rPr>
        <w:t xml:space="preserve"> (by the </w:t>
      </w:r>
      <w:r w:rsidRPr="008E46DD">
        <w:rPr>
          <w:rFonts w:asciiTheme="majorHAnsi" w:hAnsiTheme="majorHAnsi" w:cstheme="majorHAnsi"/>
          <w:i/>
          <w:sz w:val="20"/>
          <w:szCs w:val="20"/>
        </w:rPr>
        <w:t>Commonwealth</w:t>
      </w:r>
      <w:r w:rsidRPr="00E43EEF">
        <w:rPr>
          <w:rFonts w:asciiTheme="majorHAnsi" w:hAnsiTheme="majorHAnsi" w:cstheme="majorHAnsi"/>
          <w:sz w:val="20"/>
          <w:szCs w:val="20"/>
        </w:rPr>
        <w:t xml:space="preserve"> Treasurer)</w:t>
      </w:r>
      <w:r w:rsidRPr="008E46DD">
        <w:rPr>
          <w:rFonts w:asciiTheme="majorHAnsi" w:hAnsiTheme="majorHAnsi" w:cstheme="majorHAnsi"/>
          <w:sz w:val="20"/>
          <w:szCs w:val="20"/>
          <w:vertAlign w:val="superscript"/>
        </w:rPr>
        <w:footnoteReference w:id="1"/>
      </w:r>
      <w:r w:rsidRPr="00E43EEF">
        <w:rPr>
          <w:rFonts w:asciiTheme="majorHAnsi" w:hAnsiTheme="majorHAnsi" w:cstheme="majorHAnsi"/>
          <w:sz w:val="20"/>
          <w:szCs w:val="20"/>
        </w:rPr>
        <w:t>.</w:t>
      </w:r>
    </w:p>
    <w:p w:rsidR="00E43EEF" w:rsidRPr="00E43EEF" w:rsidRDefault="00E43EEF" w:rsidP="00E43EEF">
      <w:pPr>
        <w:pStyle w:val="Bullet1"/>
        <w:spacing w:before="60" w:after="120"/>
        <w:ind w:left="357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E43EEF">
        <w:rPr>
          <w:rFonts w:asciiTheme="majorHAnsi" w:hAnsiTheme="majorHAnsi" w:cstheme="majorHAnsi"/>
          <w:sz w:val="20"/>
          <w:szCs w:val="20"/>
        </w:rPr>
        <w:t xml:space="preserve">There are existing protocols for the declaration of a </w:t>
      </w:r>
      <w:r w:rsidRPr="00E43EEF">
        <w:rPr>
          <w:rFonts w:asciiTheme="majorHAnsi" w:hAnsiTheme="majorHAnsi" w:cstheme="majorHAnsi"/>
          <w:i/>
          <w:sz w:val="20"/>
          <w:szCs w:val="20"/>
        </w:rPr>
        <w:t>terrorist act</w:t>
      </w:r>
      <w:r w:rsidRPr="00E43EEF">
        <w:rPr>
          <w:rFonts w:asciiTheme="majorHAnsi" w:hAnsiTheme="majorHAnsi" w:cstheme="majorHAnsi"/>
          <w:sz w:val="20"/>
          <w:szCs w:val="20"/>
        </w:rPr>
        <w:t xml:space="preserve"> which set out the procedures between the </w:t>
      </w:r>
      <w:r w:rsidRPr="008E46DD">
        <w:rPr>
          <w:rFonts w:asciiTheme="majorHAnsi" w:hAnsiTheme="majorHAnsi" w:cstheme="majorHAnsi"/>
          <w:i/>
          <w:sz w:val="20"/>
          <w:szCs w:val="20"/>
        </w:rPr>
        <w:t>Commonwealth</w:t>
      </w:r>
      <w:r w:rsidRPr="00E43EEF">
        <w:rPr>
          <w:rFonts w:asciiTheme="majorHAnsi" w:hAnsiTheme="majorHAnsi" w:cstheme="majorHAnsi"/>
          <w:sz w:val="20"/>
          <w:szCs w:val="20"/>
        </w:rPr>
        <w:t xml:space="preserve"> Treasurer and </w:t>
      </w:r>
      <w:r w:rsidR="000F726B">
        <w:rPr>
          <w:rFonts w:asciiTheme="majorHAnsi" w:hAnsiTheme="majorHAnsi" w:cstheme="majorHAnsi"/>
          <w:sz w:val="20"/>
          <w:szCs w:val="20"/>
        </w:rPr>
        <w:t xml:space="preserve">the </w:t>
      </w:r>
      <w:r w:rsidRPr="00E43EEF">
        <w:rPr>
          <w:rFonts w:asciiTheme="majorHAnsi" w:hAnsiTheme="majorHAnsi" w:cstheme="majorHAnsi"/>
          <w:sz w:val="20"/>
          <w:szCs w:val="20"/>
        </w:rPr>
        <w:t>Attorney-General.</w:t>
      </w:r>
    </w:p>
    <w:p w:rsidR="00E43EEF" w:rsidRPr="00E43EEF" w:rsidRDefault="00E43EEF" w:rsidP="00E43EEF">
      <w:pPr>
        <w:pStyle w:val="Bullet1"/>
        <w:spacing w:before="60" w:after="120"/>
        <w:ind w:left="357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E43EEF">
        <w:rPr>
          <w:rFonts w:asciiTheme="majorHAnsi" w:hAnsiTheme="majorHAnsi" w:cstheme="majorHAnsi"/>
          <w:sz w:val="20"/>
          <w:szCs w:val="20"/>
        </w:rPr>
        <w:t xml:space="preserve">The </w:t>
      </w:r>
      <w:r w:rsidRPr="00E43EEF">
        <w:rPr>
          <w:rFonts w:asciiTheme="majorHAnsi" w:hAnsiTheme="majorHAnsi" w:cstheme="majorHAnsi"/>
          <w:bCs/>
          <w:i/>
          <w:iCs/>
          <w:sz w:val="20"/>
          <w:szCs w:val="20"/>
        </w:rPr>
        <w:t>Minister</w:t>
      </w:r>
      <w:r w:rsidRPr="00E43EEF">
        <w:rPr>
          <w:rFonts w:asciiTheme="majorHAnsi" w:hAnsiTheme="majorHAnsi" w:cstheme="majorHAnsi"/>
          <w:bCs/>
          <w:iCs/>
          <w:sz w:val="20"/>
          <w:szCs w:val="20"/>
        </w:rPr>
        <w:t xml:space="preserve"> is responsible for determining the event to be a </w:t>
      </w:r>
      <w:r w:rsidRPr="00E43EEF">
        <w:rPr>
          <w:rFonts w:asciiTheme="majorHAnsi" w:hAnsiTheme="majorHAnsi" w:cstheme="majorHAnsi"/>
          <w:bCs/>
          <w:i/>
          <w:iCs/>
          <w:sz w:val="20"/>
          <w:szCs w:val="20"/>
        </w:rPr>
        <w:t>terrorist act</w:t>
      </w:r>
      <w:r w:rsidRPr="00E43EEF">
        <w:rPr>
          <w:rFonts w:asciiTheme="majorHAnsi" w:hAnsiTheme="majorHAnsi" w:cstheme="majorHAnsi"/>
          <w:bCs/>
          <w:iCs/>
          <w:sz w:val="20"/>
          <w:szCs w:val="20"/>
        </w:rPr>
        <w:t xml:space="preserve"> for the purposes of an </w:t>
      </w:r>
      <w:r w:rsidRPr="00E43EEF">
        <w:rPr>
          <w:rFonts w:asciiTheme="majorHAnsi" w:hAnsiTheme="majorHAnsi" w:cstheme="majorHAnsi"/>
          <w:bCs/>
          <w:i/>
          <w:iCs/>
          <w:sz w:val="20"/>
          <w:szCs w:val="20"/>
        </w:rPr>
        <w:t>eligible disaster</w:t>
      </w:r>
      <w:r w:rsidRPr="00E43EEF">
        <w:rPr>
          <w:rFonts w:asciiTheme="majorHAnsi" w:hAnsiTheme="majorHAnsi" w:cstheme="majorHAnsi"/>
          <w:bCs/>
          <w:iCs/>
          <w:sz w:val="20"/>
          <w:szCs w:val="20"/>
        </w:rPr>
        <w:t xml:space="preserve"> under the</w:t>
      </w:r>
      <w:r w:rsidR="00A42AFC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  <w:r w:rsidR="00A42AFC" w:rsidRPr="00107EFC">
        <w:rPr>
          <w:rFonts w:asciiTheme="majorHAnsi" w:hAnsiTheme="majorHAnsi" w:cstheme="majorHAnsi"/>
          <w:bCs/>
          <w:iCs/>
          <w:sz w:val="20"/>
          <w:szCs w:val="20"/>
        </w:rPr>
        <w:t>Disaster Recovery Funding Arrangements 2018</w:t>
      </w:r>
      <w:r w:rsidR="00A42AFC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A42AFC">
        <w:rPr>
          <w:rFonts w:asciiTheme="majorHAnsi" w:hAnsiTheme="majorHAnsi" w:cstheme="majorHAnsi"/>
          <w:bCs/>
          <w:iCs/>
          <w:sz w:val="20"/>
          <w:szCs w:val="20"/>
        </w:rPr>
        <w:t>(the</w:t>
      </w:r>
      <w:r w:rsidRPr="00E43EEF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  <w:r w:rsidR="008E46DD" w:rsidRPr="00A42AFC">
        <w:rPr>
          <w:rFonts w:asciiTheme="majorHAnsi" w:hAnsiTheme="majorHAnsi" w:cstheme="majorHAnsi"/>
          <w:bCs/>
          <w:i/>
          <w:iCs/>
          <w:sz w:val="20"/>
          <w:szCs w:val="20"/>
        </w:rPr>
        <w:t>arrangements</w:t>
      </w:r>
      <w:r w:rsidR="00A42AFC">
        <w:rPr>
          <w:rFonts w:asciiTheme="majorHAnsi" w:hAnsiTheme="majorHAnsi" w:cstheme="majorHAnsi"/>
          <w:bCs/>
          <w:i/>
          <w:iCs/>
          <w:sz w:val="20"/>
          <w:szCs w:val="20"/>
        </w:rPr>
        <w:t>)</w:t>
      </w:r>
      <w:r w:rsidRPr="00E43EEF">
        <w:rPr>
          <w:rFonts w:asciiTheme="majorHAnsi" w:hAnsiTheme="majorHAnsi" w:cstheme="majorHAnsi"/>
          <w:sz w:val="20"/>
          <w:szCs w:val="20"/>
        </w:rPr>
        <w:t xml:space="preserve">. However, this does not preclude </w:t>
      </w:r>
      <w:r w:rsidRPr="00E43EEF">
        <w:rPr>
          <w:rFonts w:asciiTheme="majorHAnsi" w:hAnsiTheme="majorHAnsi" w:cstheme="majorHAnsi"/>
          <w:i/>
          <w:sz w:val="20"/>
          <w:szCs w:val="20"/>
        </w:rPr>
        <w:t xml:space="preserve">states </w:t>
      </w:r>
      <w:r w:rsidRPr="00E43EEF">
        <w:rPr>
          <w:rFonts w:asciiTheme="majorHAnsi" w:hAnsiTheme="majorHAnsi" w:cstheme="majorHAnsi"/>
          <w:sz w:val="20"/>
          <w:szCs w:val="20"/>
        </w:rPr>
        <w:t xml:space="preserve">from writing to the </w:t>
      </w:r>
      <w:r w:rsidRPr="00E43EEF">
        <w:rPr>
          <w:rFonts w:asciiTheme="majorHAnsi" w:hAnsiTheme="majorHAnsi" w:cstheme="majorHAnsi"/>
          <w:i/>
          <w:sz w:val="20"/>
          <w:szCs w:val="20"/>
        </w:rPr>
        <w:t>Minister</w:t>
      </w:r>
      <w:r w:rsidRPr="00E43EEF">
        <w:rPr>
          <w:rFonts w:asciiTheme="majorHAnsi" w:hAnsiTheme="majorHAnsi" w:cstheme="majorHAnsi"/>
          <w:sz w:val="20"/>
          <w:szCs w:val="20"/>
        </w:rPr>
        <w:t xml:space="preserve"> seeking advice on whether the </w:t>
      </w:r>
      <w:r w:rsidRPr="00E43EEF">
        <w:rPr>
          <w:rFonts w:asciiTheme="majorHAnsi" w:hAnsiTheme="majorHAnsi" w:cstheme="majorHAnsi"/>
          <w:i/>
          <w:sz w:val="20"/>
          <w:szCs w:val="20"/>
        </w:rPr>
        <w:t>Minister</w:t>
      </w:r>
      <w:r w:rsidRPr="00E43EEF">
        <w:rPr>
          <w:rFonts w:asciiTheme="majorHAnsi" w:hAnsiTheme="majorHAnsi" w:cstheme="majorHAnsi"/>
          <w:sz w:val="20"/>
          <w:szCs w:val="20"/>
        </w:rPr>
        <w:t xml:space="preserve"> considers the event to be a </w:t>
      </w:r>
      <w:r w:rsidRPr="00E43EEF">
        <w:rPr>
          <w:rFonts w:asciiTheme="majorHAnsi" w:hAnsiTheme="majorHAnsi" w:cstheme="majorHAnsi"/>
          <w:i/>
          <w:sz w:val="20"/>
          <w:szCs w:val="20"/>
        </w:rPr>
        <w:t xml:space="preserve">terrorist act </w:t>
      </w:r>
      <w:r w:rsidRPr="00E43EEF">
        <w:rPr>
          <w:rFonts w:asciiTheme="majorHAnsi" w:hAnsiTheme="majorHAnsi" w:cstheme="majorHAnsi"/>
          <w:sz w:val="20"/>
          <w:szCs w:val="20"/>
        </w:rPr>
        <w:t xml:space="preserve">for the purposes of the </w:t>
      </w:r>
      <w:r w:rsidR="008E46DD">
        <w:rPr>
          <w:rFonts w:asciiTheme="majorHAnsi" w:hAnsiTheme="majorHAnsi" w:cstheme="majorHAnsi"/>
          <w:i/>
          <w:sz w:val="20"/>
          <w:szCs w:val="20"/>
        </w:rPr>
        <w:t>arrangements</w:t>
      </w:r>
      <w:r w:rsidRPr="00E43EEF">
        <w:rPr>
          <w:rFonts w:asciiTheme="majorHAnsi" w:hAnsiTheme="majorHAnsi" w:cstheme="majorHAnsi"/>
          <w:i/>
          <w:sz w:val="20"/>
          <w:szCs w:val="20"/>
        </w:rPr>
        <w:t>.</w:t>
      </w:r>
    </w:p>
    <w:p w:rsidR="00E43EEF" w:rsidRPr="00E43EEF" w:rsidRDefault="00E43EEF" w:rsidP="00E43EEF">
      <w:pPr>
        <w:pStyle w:val="Bullet1"/>
        <w:spacing w:before="60" w:after="120"/>
        <w:ind w:left="357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E43EEF">
        <w:rPr>
          <w:rFonts w:asciiTheme="majorHAnsi" w:hAnsiTheme="majorHAnsi" w:cstheme="majorHAnsi"/>
          <w:sz w:val="20"/>
          <w:szCs w:val="20"/>
        </w:rPr>
        <w:t xml:space="preserve">Importantly, if the </w:t>
      </w:r>
      <w:r w:rsidRPr="00E43EEF">
        <w:rPr>
          <w:rFonts w:asciiTheme="majorHAnsi" w:hAnsiTheme="majorHAnsi" w:cstheme="majorHAnsi"/>
          <w:i/>
          <w:sz w:val="20"/>
          <w:szCs w:val="20"/>
        </w:rPr>
        <w:t xml:space="preserve">Minister </w:t>
      </w:r>
      <w:r w:rsidRPr="00E43EEF">
        <w:rPr>
          <w:rFonts w:asciiTheme="majorHAnsi" w:hAnsiTheme="majorHAnsi" w:cstheme="majorHAnsi"/>
          <w:sz w:val="20"/>
          <w:szCs w:val="20"/>
        </w:rPr>
        <w:t xml:space="preserve">determines the event to be a </w:t>
      </w:r>
      <w:r w:rsidRPr="00E43EEF">
        <w:rPr>
          <w:rFonts w:asciiTheme="majorHAnsi" w:hAnsiTheme="majorHAnsi" w:cstheme="majorHAnsi"/>
          <w:i/>
          <w:sz w:val="20"/>
          <w:szCs w:val="20"/>
        </w:rPr>
        <w:t xml:space="preserve">terrorist act </w:t>
      </w:r>
      <w:r w:rsidRPr="00E43EEF">
        <w:rPr>
          <w:rFonts w:asciiTheme="majorHAnsi" w:hAnsiTheme="majorHAnsi" w:cstheme="majorHAnsi"/>
          <w:sz w:val="20"/>
          <w:szCs w:val="20"/>
        </w:rPr>
        <w:t xml:space="preserve">for the purposes of an </w:t>
      </w:r>
      <w:r w:rsidRPr="00E43EEF">
        <w:rPr>
          <w:rFonts w:asciiTheme="majorHAnsi" w:hAnsiTheme="majorHAnsi" w:cstheme="majorHAnsi"/>
          <w:i/>
          <w:sz w:val="20"/>
          <w:szCs w:val="20"/>
        </w:rPr>
        <w:t xml:space="preserve">eligible disaster </w:t>
      </w:r>
      <w:r w:rsidRPr="00E43EEF">
        <w:rPr>
          <w:rFonts w:asciiTheme="majorHAnsi" w:hAnsiTheme="majorHAnsi" w:cstheme="majorHAnsi"/>
          <w:sz w:val="20"/>
          <w:szCs w:val="20"/>
        </w:rPr>
        <w:t xml:space="preserve">under the </w:t>
      </w:r>
      <w:r w:rsidR="008E46DD">
        <w:rPr>
          <w:rFonts w:asciiTheme="majorHAnsi" w:hAnsiTheme="majorHAnsi" w:cstheme="majorHAnsi"/>
          <w:i/>
          <w:sz w:val="20"/>
          <w:szCs w:val="20"/>
        </w:rPr>
        <w:t>arrangements</w:t>
      </w:r>
      <w:r w:rsidRPr="00E43EEF">
        <w:rPr>
          <w:rFonts w:asciiTheme="majorHAnsi" w:hAnsiTheme="majorHAnsi" w:cstheme="majorHAnsi"/>
          <w:sz w:val="20"/>
          <w:szCs w:val="20"/>
        </w:rPr>
        <w:t xml:space="preserve">, this does not equate to any assumption with respect to the admissibility of evidence before a Court, or the guilt of persons accused of engaging in a </w:t>
      </w:r>
      <w:r w:rsidR="00914115">
        <w:rPr>
          <w:rFonts w:asciiTheme="majorHAnsi" w:hAnsiTheme="majorHAnsi" w:cstheme="majorHAnsi"/>
          <w:i/>
          <w:sz w:val="20"/>
          <w:szCs w:val="20"/>
        </w:rPr>
        <w:t>terrorist </w:t>
      </w:r>
      <w:r w:rsidRPr="00E43EEF">
        <w:rPr>
          <w:rFonts w:asciiTheme="majorHAnsi" w:hAnsiTheme="majorHAnsi" w:cstheme="majorHAnsi"/>
          <w:i/>
          <w:sz w:val="20"/>
          <w:szCs w:val="20"/>
        </w:rPr>
        <w:t>act</w:t>
      </w:r>
      <w:r w:rsidRPr="00E43EEF">
        <w:rPr>
          <w:rFonts w:asciiTheme="majorHAnsi" w:hAnsiTheme="majorHAnsi" w:cstheme="majorHAnsi"/>
          <w:sz w:val="20"/>
          <w:szCs w:val="20"/>
        </w:rPr>
        <w:t xml:space="preserve"> under the </w:t>
      </w:r>
      <w:r w:rsidR="00A42AFC">
        <w:rPr>
          <w:rFonts w:asciiTheme="majorHAnsi" w:hAnsiTheme="majorHAnsi" w:cstheme="majorHAnsi"/>
          <w:iCs/>
          <w:sz w:val="20"/>
          <w:szCs w:val="20"/>
        </w:rPr>
        <w:t>Code</w:t>
      </w:r>
      <w:r w:rsidRPr="00E43EEF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:rsidR="00E43EEF" w:rsidRPr="00E43EEF" w:rsidRDefault="00E43EEF" w:rsidP="00E43EEF">
      <w:pPr>
        <w:pStyle w:val="Bullet1"/>
        <w:spacing w:before="60" w:after="120"/>
        <w:ind w:left="357" w:hanging="357"/>
        <w:contextualSpacing w:val="0"/>
        <w:rPr>
          <w:rFonts w:asciiTheme="majorHAnsi" w:hAnsiTheme="majorHAnsi" w:cstheme="majorHAnsi"/>
          <w:sz w:val="20"/>
          <w:szCs w:val="20"/>
        </w:rPr>
      </w:pPr>
      <w:r w:rsidRPr="00E43EEF">
        <w:rPr>
          <w:rFonts w:asciiTheme="majorHAnsi" w:hAnsiTheme="majorHAnsi" w:cstheme="majorHAnsi"/>
          <w:sz w:val="20"/>
          <w:szCs w:val="20"/>
        </w:rPr>
        <w:t xml:space="preserve">The process below for a declaration under the </w:t>
      </w:r>
      <w:r w:rsidR="008E46DD">
        <w:rPr>
          <w:rFonts w:asciiTheme="majorHAnsi" w:hAnsiTheme="majorHAnsi" w:cstheme="majorHAnsi"/>
          <w:i/>
          <w:sz w:val="20"/>
          <w:szCs w:val="20"/>
        </w:rPr>
        <w:t>arrangements</w:t>
      </w:r>
      <w:r w:rsidRPr="00E43EEF">
        <w:rPr>
          <w:rFonts w:asciiTheme="majorHAnsi" w:hAnsiTheme="majorHAnsi" w:cstheme="majorHAnsi"/>
          <w:sz w:val="20"/>
          <w:szCs w:val="20"/>
        </w:rPr>
        <w:t xml:space="preserve"> is based on the guidance between the </w:t>
      </w:r>
      <w:r w:rsidRPr="008E46DD">
        <w:rPr>
          <w:rFonts w:asciiTheme="majorHAnsi" w:hAnsiTheme="majorHAnsi" w:cstheme="majorHAnsi"/>
          <w:i/>
          <w:sz w:val="20"/>
          <w:szCs w:val="20"/>
        </w:rPr>
        <w:t>Commonwealth</w:t>
      </w:r>
      <w:r w:rsidRPr="00E43EEF">
        <w:rPr>
          <w:rFonts w:asciiTheme="majorHAnsi" w:hAnsiTheme="majorHAnsi" w:cstheme="majorHAnsi"/>
          <w:sz w:val="20"/>
          <w:szCs w:val="20"/>
        </w:rPr>
        <w:t xml:space="preserve"> Treasurer and the Attorney-General.</w:t>
      </w:r>
    </w:p>
    <w:p w:rsidR="00E43EEF" w:rsidRPr="00295200" w:rsidRDefault="00E43EEF" w:rsidP="00E43EEF">
      <w:pPr>
        <w:pStyle w:val="ListBullet2"/>
        <w:numPr>
          <w:ilvl w:val="0"/>
          <w:numId w:val="0"/>
        </w:numPr>
        <w:ind w:left="360"/>
        <w:rPr>
          <w:bCs/>
          <w:i/>
          <w:iCs/>
          <w:szCs w:val="24"/>
        </w:rPr>
      </w:pPr>
      <w:r w:rsidRPr="008E46DD">
        <w:rPr>
          <w:bCs/>
          <w:iCs/>
          <w:szCs w:val="24"/>
        </w:rPr>
        <w:t>If the</w:t>
      </w:r>
      <w:r w:rsidRPr="00295200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Commonwealth </w:t>
      </w:r>
      <w:r w:rsidRPr="008E46DD">
        <w:rPr>
          <w:bCs/>
          <w:iCs/>
          <w:szCs w:val="24"/>
        </w:rPr>
        <w:t xml:space="preserve">Treasurer has determined the event is a terrorist act for the purposes of the </w:t>
      </w:r>
      <w:r w:rsidRPr="00107EFC">
        <w:rPr>
          <w:bCs/>
          <w:i/>
          <w:iCs/>
          <w:szCs w:val="24"/>
        </w:rPr>
        <w:t>Terrorism Insurance Act 2003</w:t>
      </w:r>
      <w:r w:rsidRPr="008E46DD">
        <w:rPr>
          <w:bCs/>
          <w:iCs/>
          <w:szCs w:val="24"/>
        </w:rPr>
        <w:t xml:space="preserve">: </w:t>
      </w:r>
    </w:p>
    <w:p w:rsidR="00E43EEF" w:rsidRPr="00295200" w:rsidRDefault="00E43EEF" w:rsidP="00E43EEF">
      <w:pPr>
        <w:pStyle w:val="ListBullet2"/>
        <w:numPr>
          <w:ilvl w:val="1"/>
          <w:numId w:val="28"/>
        </w:numPr>
        <w:spacing w:before="60" w:line="276" w:lineRule="auto"/>
        <w:ind w:left="1077" w:hanging="357"/>
        <w:rPr>
          <w:bCs/>
          <w:iCs/>
          <w:szCs w:val="24"/>
        </w:rPr>
      </w:pPr>
      <w:r w:rsidRPr="00295200">
        <w:rPr>
          <w:bCs/>
          <w:iCs/>
          <w:szCs w:val="24"/>
        </w:rPr>
        <w:t xml:space="preserve">The </w:t>
      </w:r>
      <w:r w:rsidRPr="00295200">
        <w:rPr>
          <w:bCs/>
          <w:i/>
          <w:iCs/>
          <w:szCs w:val="24"/>
        </w:rPr>
        <w:t>department</w:t>
      </w:r>
      <w:r w:rsidRPr="00295200">
        <w:rPr>
          <w:bCs/>
          <w:iCs/>
          <w:szCs w:val="24"/>
        </w:rPr>
        <w:t xml:space="preserve"> will write to the </w:t>
      </w:r>
      <w:r w:rsidRPr="00295200">
        <w:rPr>
          <w:bCs/>
          <w:i/>
          <w:iCs/>
          <w:szCs w:val="24"/>
        </w:rPr>
        <w:t>Minister</w:t>
      </w:r>
      <w:r w:rsidRPr="00295200">
        <w:rPr>
          <w:bCs/>
          <w:iCs/>
          <w:szCs w:val="24"/>
        </w:rPr>
        <w:t xml:space="preserve"> providing advice on whether the </w:t>
      </w:r>
      <w:r w:rsidR="001F1F74">
        <w:rPr>
          <w:bCs/>
          <w:iCs/>
          <w:szCs w:val="24"/>
        </w:rPr>
        <w:t>event</w:t>
      </w:r>
      <w:r w:rsidRPr="00295200">
        <w:rPr>
          <w:bCs/>
          <w:iCs/>
          <w:szCs w:val="24"/>
        </w:rPr>
        <w:t xml:space="preserve"> should be declared a </w:t>
      </w:r>
      <w:r w:rsidRPr="00295200">
        <w:rPr>
          <w:bCs/>
          <w:i/>
          <w:iCs/>
          <w:szCs w:val="24"/>
        </w:rPr>
        <w:t>terrorist act</w:t>
      </w:r>
      <w:r w:rsidRPr="00295200">
        <w:rPr>
          <w:bCs/>
          <w:iCs/>
          <w:szCs w:val="24"/>
        </w:rPr>
        <w:t xml:space="preserve"> for the purposes of an </w:t>
      </w:r>
      <w:r w:rsidRPr="00295200">
        <w:rPr>
          <w:bCs/>
          <w:i/>
          <w:iCs/>
          <w:szCs w:val="24"/>
        </w:rPr>
        <w:t>eligible disaster</w:t>
      </w:r>
      <w:r w:rsidRPr="00295200">
        <w:rPr>
          <w:bCs/>
          <w:iCs/>
          <w:szCs w:val="24"/>
        </w:rPr>
        <w:t xml:space="preserve"> under the</w:t>
      </w:r>
      <w:r w:rsidRPr="00295200">
        <w:rPr>
          <w:bCs/>
          <w:i/>
          <w:iCs/>
          <w:szCs w:val="24"/>
        </w:rPr>
        <w:t xml:space="preserve"> </w:t>
      </w:r>
      <w:r w:rsidR="008041FE">
        <w:rPr>
          <w:bCs/>
          <w:i/>
          <w:iCs/>
          <w:szCs w:val="24"/>
        </w:rPr>
        <w:t>arrangements</w:t>
      </w:r>
      <w:r w:rsidR="00914115">
        <w:rPr>
          <w:bCs/>
          <w:iCs/>
          <w:szCs w:val="24"/>
        </w:rPr>
        <w:t>. The </w:t>
      </w:r>
      <w:r w:rsidRPr="00295200">
        <w:rPr>
          <w:bCs/>
          <w:i/>
          <w:iCs/>
          <w:szCs w:val="24"/>
        </w:rPr>
        <w:t>department</w:t>
      </w:r>
      <w:r w:rsidRPr="00295200">
        <w:rPr>
          <w:bCs/>
          <w:iCs/>
          <w:szCs w:val="24"/>
        </w:rPr>
        <w:t xml:space="preserve"> may include any advice provided to the Attorney</w:t>
      </w:r>
      <w:r w:rsidR="00A42AFC">
        <w:rPr>
          <w:bCs/>
          <w:iCs/>
          <w:szCs w:val="24"/>
        </w:rPr>
        <w:noBreakHyphen/>
      </w:r>
      <w:r w:rsidRPr="00295200">
        <w:rPr>
          <w:bCs/>
          <w:iCs/>
          <w:szCs w:val="24"/>
        </w:rPr>
        <w:t>General (for the purposes of briefing the</w:t>
      </w:r>
      <w:r w:rsidR="00107EFC">
        <w:rPr>
          <w:bCs/>
          <w:iCs/>
          <w:szCs w:val="24"/>
        </w:rPr>
        <w:t xml:space="preserve"> </w:t>
      </w:r>
      <w:r w:rsidR="00107EFC">
        <w:rPr>
          <w:bCs/>
          <w:i/>
          <w:iCs/>
          <w:szCs w:val="24"/>
        </w:rPr>
        <w:t>Commonwealth</w:t>
      </w:r>
      <w:r w:rsidRPr="00295200">
        <w:rPr>
          <w:bCs/>
          <w:iCs/>
          <w:szCs w:val="24"/>
        </w:rPr>
        <w:t xml:space="preserve"> Treasurer) from other </w:t>
      </w:r>
      <w:r w:rsidRPr="008041FE">
        <w:rPr>
          <w:bCs/>
          <w:i/>
          <w:iCs/>
          <w:szCs w:val="24"/>
        </w:rPr>
        <w:t>Commonwealth</w:t>
      </w:r>
      <w:r w:rsidRPr="00295200">
        <w:rPr>
          <w:bCs/>
          <w:iCs/>
          <w:szCs w:val="24"/>
        </w:rPr>
        <w:t xml:space="preserve"> agencies including </w:t>
      </w:r>
      <w:r>
        <w:rPr>
          <w:bCs/>
          <w:iCs/>
          <w:szCs w:val="24"/>
        </w:rPr>
        <w:t xml:space="preserve">the </w:t>
      </w:r>
      <w:r w:rsidRPr="00295200">
        <w:rPr>
          <w:bCs/>
          <w:iCs/>
          <w:szCs w:val="24"/>
        </w:rPr>
        <w:t xml:space="preserve">Australian Security Intelligence </w:t>
      </w:r>
      <w:r w:rsidR="00107EFC">
        <w:rPr>
          <w:bCs/>
          <w:iCs/>
          <w:szCs w:val="24"/>
        </w:rPr>
        <w:t>Organisation</w:t>
      </w:r>
      <w:r w:rsidR="00107EFC" w:rsidRPr="00295200">
        <w:rPr>
          <w:bCs/>
          <w:iCs/>
          <w:szCs w:val="24"/>
        </w:rPr>
        <w:t xml:space="preserve"> </w:t>
      </w:r>
      <w:r w:rsidRPr="00295200">
        <w:rPr>
          <w:bCs/>
          <w:iCs/>
          <w:szCs w:val="24"/>
        </w:rPr>
        <w:t xml:space="preserve">(ASIO) and </w:t>
      </w:r>
      <w:r>
        <w:rPr>
          <w:bCs/>
          <w:iCs/>
          <w:szCs w:val="24"/>
        </w:rPr>
        <w:t xml:space="preserve">the </w:t>
      </w:r>
      <w:r w:rsidRPr="00295200">
        <w:rPr>
          <w:bCs/>
          <w:iCs/>
          <w:szCs w:val="24"/>
        </w:rPr>
        <w:t xml:space="preserve">Australian Government Solicitor (AGS). </w:t>
      </w:r>
    </w:p>
    <w:p w:rsidR="00E43EEF" w:rsidRPr="00295200" w:rsidRDefault="00E43EEF" w:rsidP="00E43EEF">
      <w:pPr>
        <w:pStyle w:val="ListBullet2"/>
        <w:numPr>
          <w:ilvl w:val="1"/>
          <w:numId w:val="28"/>
        </w:numPr>
        <w:spacing w:before="60" w:line="276" w:lineRule="auto"/>
        <w:ind w:left="1077" w:hanging="357"/>
        <w:rPr>
          <w:bCs/>
          <w:iCs/>
          <w:szCs w:val="24"/>
        </w:rPr>
      </w:pPr>
      <w:r w:rsidRPr="00295200">
        <w:rPr>
          <w:bCs/>
          <w:iCs/>
          <w:szCs w:val="24"/>
        </w:rPr>
        <w:t xml:space="preserve">If the </w:t>
      </w:r>
      <w:r w:rsidRPr="00295200">
        <w:rPr>
          <w:bCs/>
          <w:i/>
          <w:iCs/>
          <w:szCs w:val="24"/>
        </w:rPr>
        <w:t>Minister</w:t>
      </w:r>
      <w:r w:rsidRPr="00295200">
        <w:rPr>
          <w:bCs/>
          <w:iCs/>
          <w:szCs w:val="24"/>
        </w:rPr>
        <w:t xml:space="preserve"> determines the event to be a </w:t>
      </w:r>
      <w:r w:rsidRPr="00295200">
        <w:rPr>
          <w:bCs/>
          <w:i/>
          <w:iCs/>
          <w:szCs w:val="24"/>
        </w:rPr>
        <w:t>terrorist act</w:t>
      </w:r>
      <w:r w:rsidRPr="00295200">
        <w:rPr>
          <w:bCs/>
          <w:iCs/>
          <w:szCs w:val="24"/>
        </w:rPr>
        <w:t xml:space="preserve"> for the purposes of an </w:t>
      </w:r>
      <w:r w:rsidRPr="00295200">
        <w:rPr>
          <w:bCs/>
          <w:i/>
          <w:iCs/>
          <w:szCs w:val="24"/>
        </w:rPr>
        <w:t>eligible disaster</w:t>
      </w:r>
      <w:r w:rsidRPr="00295200">
        <w:rPr>
          <w:bCs/>
          <w:iCs/>
          <w:szCs w:val="24"/>
        </w:rPr>
        <w:t xml:space="preserve"> under the</w:t>
      </w:r>
      <w:r w:rsidRPr="00295200">
        <w:rPr>
          <w:bCs/>
          <w:i/>
          <w:iCs/>
          <w:szCs w:val="24"/>
        </w:rPr>
        <w:t xml:space="preserve"> </w:t>
      </w:r>
      <w:r w:rsidR="008041FE">
        <w:rPr>
          <w:bCs/>
          <w:i/>
          <w:iCs/>
          <w:szCs w:val="24"/>
        </w:rPr>
        <w:t>arrangements</w:t>
      </w:r>
      <w:r w:rsidRPr="00295200">
        <w:rPr>
          <w:bCs/>
          <w:iCs/>
          <w:szCs w:val="24"/>
        </w:rPr>
        <w:t xml:space="preserve">, the </w:t>
      </w:r>
      <w:r w:rsidRPr="00295200">
        <w:rPr>
          <w:bCs/>
          <w:i/>
          <w:iCs/>
          <w:szCs w:val="24"/>
        </w:rPr>
        <w:t xml:space="preserve">Minister </w:t>
      </w:r>
      <w:r w:rsidRPr="00295200">
        <w:rPr>
          <w:bCs/>
          <w:iCs/>
          <w:szCs w:val="24"/>
        </w:rPr>
        <w:t xml:space="preserve">will write to the relevant </w:t>
      </w:r>
      <w:r w:rsidRPr="00295200">
        <w:rPr>
          <w:bCs/>
          <w:i/>
          <w:iCs/>
          <w:szCs w:val="24"/>
        </w:rPr>
        <w:t>state</w:t>
      </w:r>
      <w:r w:rsidRPr="00295200">
        <w:rPr>
          <w:bCs/>
          <w:iCs/>
          <w:szCs w:val="24"/>
        </w:rPr>
        <w:t xml:space="preserve">. </w:t>
      </w:r>
    </w:p>
    <w:p w:rsidR="00E43EEF" w:rsidRPr="00A76C25" w:rsidRDefault="00E43EEF" w:rsidP="00E43EEF">
      <w:pPr>
        <w:pStyle w:val="ListBullet2"/>
        <w:numPr>
          <w:ilvl w:val="1"/>
          <w:numId w:val="28"/>
        </w:numPr>
        <w:spacing w:before="60" w:line="276" w:lineRule="auto"/>
        <w:ind w:left="1077" w:hanging="357"/>
        <w:rPr>
          <w:bCs/>
          <w:iCs/>
          <w:szCs w:val="24"/>
        </w:rPr>
      </w:pPr>
      <w:r w:rsidRPr="00295200">
        <w:rPr>
          <w:bCs/>
          <w:iCs/>
          <w:szCs w:val="24"/>
        </w:rPr>
        <w:t xml:space="preserve">Upon </w:t>
      </w:r>
      <w:r w:rsidRPr="008041FE">
        <w:rPr>
          <w:bCs/>
          <w:iCs/>
          <w:szCs w:val="24"/>
        </w:rPr>
        <w:t>verification</w:t>
      </w:r>
      <w:r w:rsidRPr="00295200">
        <w:rPr>
          <w:bCs/>
          <w:iCs/>
          <w:szCs w:val="24"/>
        </w:rPr>
        <w:t xml:space="preserve"> that the </w:t>
      </w:r>
      <w:r w:rsidR="000F726B">
        <w:rPr>
          <w:bCs/>
          <w:iCs/>
          <w:szCs w:val="24"/>
        </w:rPr>
        <w:t>event</w:t>
      </w:r>
      <w:r w:rsidRPr="00295200">
        <w:rPr>
          <w:bCs/>
          <w:iCs/>
          <w:szCs w:val="24"/>
        </w:rPr>
        <w:t xml:space="preserve"> is a </w:t>
      </w:r>
      <w:r w:rsidRPr="00295200">
        <w:rPr>
          <w:bCs/>
          <w:i/>
          <w:iCs/>
          <w:szCs w:val="24"/>
        </w:rPr>
        <w:t>terrorist act</w:t>
      </w:r>
      <w:r w:rsidRPr="00295200">
        <w:rPr>
          <w:bCs/>
          <w:iCs/>
          <w:szCs w:val="24"/>
        </w:rPr>
        <w:t xml:space="preserve"> under the </w:t>
      </w:r>
      <w:r w:rsidR="008041FE" w:rsidRPr="00107EFC">
        <w:rPr>
          <w:bCs/>
          <w:i/>
          <w:iCs/>
          <w:szCs w:val="24"/>
        </w:rPr>
        <w:t>arrangements</w:t>
      </w:r>
      <w:r w:rsidRPr="00295200">
        <w:rPr>
          <w:bCs/>
          <w:iCs/>
          <w:szCs w:val="24"/>
        </w:rPr>
        <w:t xml:space="preserve">, the </w:t>
      </w:r>
      <w:r w:rsidRPr="00295200">
        <w:rPr>
          <w:bCs/>
          <w:i/>
          <w:iCs/>
          <w:szCs w:val="24"/>
        </w:rPr>
        <w:t>state</w:t>
      </w:r>
      <w:r w:rsidRPr="00295200">
        <w:rPr>
          <w:bCs/>
          <w:iCs/>
          <w:szCs w:val="24"/>
        </w:rPr>
        <w:t xml:space="preserve"> would follow </w:t>
      </w:r>
      <w:r w:rsidRPr="00A76C25">
        <w:rPr>
          <w:bCs/>
          <w:iCs/>
          <w:szCs w:val="24"/>
        </w:rPr>
        <w:t xml:space="preserve">the notification process as outlined in clause </w:t>
      </w:r>
      <w:r w:rsidR="008041FE" w:rsidRPr="00A76C25">
        <w:rPr>
          <w:bCs/>
          <w:iCs/>
          <w:szCs w:val="24"/>
        </w:rPr>
        <w:t>5.1</w:t>
      </w:r>
      <w:r w:rsidRPr="00A76C25">
        <w:rPr>
          <w:bCs/>
          <w:iCs/>
          <w:szCs w:val="24"/>
        </w:rPr>
        <w:t>.</w:t>
      </w:r>
    </w:p>
    <w:p w:rsidR="000F726B" w:rsidRDefault="000F726B">
      <w:pPr>
        <w:spacing w:before="80" w:after="80"/>
      </w:pPr>
      <w:r>
        <w:br w:type="page"/>
      </w:r>
    </w:p>
    <w:p w:rsidR="00E43EEF" w:rsidRPr="00295200" w:rsidRDefault="00E43EEF" w:rsidP="00E43EEF">
      <w:pPr>
        <w:pStyle w:val="ListBullet"/>
        <w:numPr>
          <w:ilvl w:val="0"/>
          <w:numId w:val="0"/>
        </w:numPr>
        <w:ind w:left="426"/>
        <w:rPr>
          <w:i/>
        </w:rPr>
      </w:pPr>
      <w:r w:rsidRPr="008041FE">
        <w:lastRenderedPageBreak/>
        <w:t xml:space="preserve">If the </w:t>
      </w:r>
      <w:r w:rsidRPr="008041FE">
        <w:rPr>
          <w:i/>
        </w:rPr>
        <w:t>Commonwealth</w:t>
      </w:r>
      <w:r w:rsidRPr="008041FE">
        <w:t xml:space="preserve"> Treasurer has not made a determination about the event:</w:t>
      </w:r>
      <w:r w:rsidRPr="00295200">
        <w:rPr>
          <w:i/>
        </w:rPr>
        <w:t xml:space="preserve"> </w:t>
      </w:r>
    </w:p>
    <w:p w:rsidR="00E43EEF" w:rsidRPr="00295200" w:rsidRDefault="00E43EEF" w:rsidP="00E43EEF">
      <w:pPr>
        <w:pStyle w:val="ListBullet2"/>
        <w:numPr>
          <w:ilvl w:val="0"/>
          <w:numId w:val="29"/>
        </w:numPr>
        <w:spacing w:before="60" w:line="276" w:lineRule="auto"/>
        <w:ind w:left="1077" w:hanging="357"/>
        <w:rPr>
          <w:bCs/>
          <w:iCs/>
          <w:szCs w:val="24"/>
        </w:rPr>
      </w:pPr>
      <w:r w:rsidRPr="00295200">
        <w:rPr>
          <w:bCs/>
          <w:iCs/>
          <w:szCs w:val="24"/>
        </w:rPr>
        <w:t xml:space="preserve">The </w:t>
      </w:r>
      <w:r w:rsidRPr="00295200">
        <w:rPr>
          <w:bCs/>
          <w:i/>
          <w:iCs/>
          <w:szCs w:val="24"/>
        </w:rPr>
        <w:t>department</w:t>
      </w:r>
      <w:r w:rsidRPr="00295200">
        <w:rPr>
          <w:bCs/>
          <w:iCs/>
          <w:szCs w:val="24"/>
        </w:rPr>
        <w:t xml:space="preserve"> will request that the </w:t>
      </w:r>
      <w:r w:rsidRPr="00295200">
        <w:rPr>
          <w:bCs/>
          <w:i/>
          <w:iCs/>
          <w:szCs w:val="24"/>
        </w:rPr>
        <w:t>Minister</w:t>
      </w:r>
      <w:r w:rsidR="000F726B">
        <w:rPr>
          <w:bCs/>
          <w:iCs/>
          <w:szCs w:val="24"/>
        </w:rPr>
        <w:t xml:space="preserve"> consult with the Attorney-</w:t>
      </w:r>
      <w:r w:rsidRPr="00295200">
        <w:rPr>
          <w:bCs/>
          <w:iCs/>
          <w:szCs w:val="24"/>
        </w:rPr>
        <w:t xml:space="preserve">General to seek advice and information on the </w:t>
      </w:r>
      <w:r w:rsidR="001F1F74">
        <w:rPr>
          <w:bCs/>
          <w:iCs/>
          <w:szCs w:val="24"/>
        </w:rPr>
        <w:t>event</w:t>
      </w:r>
      <w:r w:rsidRPr="00295200">
        <w:rPr>
          <w:bCs/>
          <w:iCs/>
          <w:szCs w:val="24"/>
        </w:rPr>
        <w:t xml:space="preserve"> from relevant </w:t>
      </w:r>
      <w:r w:rsidRPr="008041FE">
        <w:rPr>
          <w:bCs/>
          <w:i/>
          <w:iCs/>
          <w:szCs w:val="24"/>
        </w:rPr>
        <w:t>Commonwealth</w:t>
      </w:r>
      <w:r w:rsidRPr="00295200">
        <w:rPr>
          <w:bCs/>
          <w:iCs/>
          <w:szCs w:val="24"/>
        </w:rPr>
        <w:t xml:space="preserve"> agencies</w:t>
      </w:r>
      <w:r>
        <w:rPr>
          <w:bCs/>
          <w:iCs/>
          <w:szCs w:val="24"/>
        </w:rPr>
        <w:t xml:space="preserve"> such as the National Crisis Committee</w:t>
      </w:r>
      <w:r w:rsidRPr="00295200">
        <w:rPr>
          <w:bCs/>
          <w:iCs/>
          <w:szCs w:val="24"/>
        </w:rPr>
        <w:t xml:space="preserve">, giving consideration to the definition in the Code. </w:t>
      </w:r>
    </w:p>
    <w:p w:rsidR="00E43EEF" w:rsidRPr="00295200" w:rsidRDefault="00E43EEF" w:rsidP="00E43EEF">
      <w:pPr>
        <w:pStyle w:val="ListBullet2"/>
        <w:numPr>
          <w:ilvl w:val="0"/>
          <w:numId w:val="29"/>
        </w:numPr>
        <w:spacing w:before="60" w:line="276" w:lineRule="auto"/>
        <w:ind w:left="1077" w:hanging="357"/>
        <w:rPr>
          <w:bCs/>
          <w:iCs/>
          <w:szCs w:val="24"/>
        </w:rPr>
      </w:pPr>
      <w:r w:rsidRPr="00295200">
        <w:rPr>
          <w:bCs/>
          <w:iCs/>
          <w:szCs w:val="24"/>
        </w:rPr>
        <w:t xml:space="preserve">Based on the information provided, the </w:t>
      </w:r>
      <w:r w:rsidRPr="00295200">
        <w:rPr>
          <w:bCs/>
          <w:i/>
          <w:iCs/>
          <w:szCs w:val="24"/>
        </w:rPr>
        <w:t>department</w:t>
      </w:r>
      <w:r w:rsidRPr="00295200">
        <w:rPr>
          <w:bCs/>
          <w:iCs/>
          <w:szCs w:val="24"/>
        </w:rPr>
        <w:t xml:space="preserve"> will write to the </w:t>
      </w:r>
      <w:r w:rsidRPr="00295200">
        <w:rPr>
          <w:bCs/>
          <w:i/>
          <w:iCs/>
          <w:szCs w:val="24"/>
        </w:rPr>
        <w:t>Minister</w:t>
      </w:r>
      <w:r w:rsidRPr="00295200">
        <w:rPr>
          <w:bCs/>
          <w:iCs/>
          <w:szCs w:val="24"/>
        </w:rPr>
        <w:t xml:space="preserve"> to seek his consideration that the </w:t>
      </w:r>
      <w:r w:rsidR="001F1F74">
        <w:rPr>
          <w:bCs/>
          <w:iCs/>
          <w:szCs w:val="24"/>
        </w:rPr>
        <w:t>event</w:t>
      </w:r>
      <w:r w:rsidRPr="00295200">
        <w:rPr>
          <w:bCs/>
          <w:iCs/>
          <w:szCs w:val="24"/>
        </w:rPr>
        <w:t xml:space="preserve"> should be declared a </w:t>
      </w:r>
      <w:r w:rsidRPr="00295200">
        <w:rPr>
          <w:bCs/>
          <w:i/>
          <w:iCs/>
          <w:szCs w:val="24"/>
        </w:rPr>
        <w:t>terrorist act</w:t>
      </w:r>
      <w:r w:rsidRPr="00295200">
        <w:rPr>
          <w:bCs/>
          <w:iCs/>
          <w:szCs w:val="24"/>
        </w:rPr>
        <w:t xml:space="preserve"> for the purposes of an </w:t>
      </w:r>
      <w:r w:rsidRPr="00295200">
        <w:rPr>
          <w:bCs/>
          <w:i/>
          <w:iCs/>
          <w:szCs w:val="24"/>
        </w:rPr>
        <w:t>eligible disaster</w:t>
      </w:r>
      <w:r w:rsidRPr="00295200">
        <w:rPr>
          <w:bCs/>
          <w:iCs/>
          <w:szCs w:val="24"/>
        </w:rPr>
        <w:t xml:space="preserve"> under the </w:t>
      </w:r>
      <w:r w:rsidR="002B6928">
        <w:rPr>
          <w:bCs/>
          <w:i/>
          <w:iCs/>
          <w:szCs w:val="24"/>
        </w:rPr>
        <w:t>arrangements</w:t>
      </w:r>
      <w:r w:rsidRPr="00295200">
        <w:rPr>
          <w:bCs/>
          <w:iCs/>
          <w:szCs w:val="24"/>
        </w:rPr>
        <w:t xml:space="preserve">. </w:t>
      </w:r>
    </w:p>
    <w:p w:rsidR="00E43EEF" w:rsidRPr="00295200" w:rsidRDefault="00E43EEF" w:rsidP="00E43EEF">
      <w:pPr>
        <w:pStyle w:val="ListBullet2"/>
        <w:numPr>
          <w:ilvl w:val="0"/>
          <w:numId w:val="29"/>
        </w:numPr>
        <w:spacing w:before="60" w:line="276" w:lineRule="auto"/>
        <w:ind w:left="1077" w:hanging="357"/>
        <w:rPr>
          <w:bCs/>
          <w:iCs/>
          <w:szCs w:val="24"/>
        </w:rPr>
      </w:pPr>
      <w:r w:rsidRPr="00295200">
        <w:rPr>
          <w:bCs/>
          <w:iCs/>
          <w:szCs w:val="24"/>
        </w:rPr>
        <w:t xml:space="preserve">If the </w:t>
      </w:r>
      <w:r w:rsidRPr="00295200">
        <w:rPr>
          <w:bCs/>
          <w:i/>
          <w:iCs/>
          <w:szCs w:val="24"/>
        </w:rPr>
        <w:t>Minister</w:t>
      </w:r>
      <w:r w:rsidRPr="00295200">
        <w:rPr>
          <w:bCs/>
          <w:iCs/>
          <w:szCs w:val="24"/>
        </w:rPr>
        <w:t xml:space="preserve"> determines the event to be a </w:t>
      </w:r>
      <w:r w:rsidRPr="00295200">
        <w:rPr>
          <w:bCs/>
          <w:i/>
          <w:iCs/>
          <w:szCs w:val="24"/>
        </w:rPr>
        <w:t>terrorist act</w:t>
      </w:r>
      <w:r w:rsidRPr="00295200">
        <w:rPr>
          <w:bCs/>
          <w:iCs/>
          <w:szCs w:val="24"/>
        </w:rPr>
        <w:t xml:space="preserve"> for the purposes of an </w:t>
      </w:r>
      <w:r w:rsidRPr="00295200">
        <w:rPr>
          <w:bCs/>
          <w:i/>
          <w:iCs/>
          <w:szCs w:val="24"/>
        </w:rPr>
        <w:t>eligible disaster</w:t>
      </w:r>
      <w:r w:rsidRPr="00295200">
        <w:rPr>
          <w:bCs/>
          <w:iCs/>
          <w:szCs w:val="24"/>
        </w:rPr>
        <w:t xml:space="preserve"> under the </w:t>
      </w:r>
      <w:r w:rsidR="006B47BE">
        <w:rPr>
          <w:bCs/>
          <w:i/>
          <w:iCs/>
          <w:szCs w:val="24"/>
        </w:rPr>
        <w:t>arrangements</w:t>
      </w:r>
      <w:r w:rsidRPr="00295200">
        <w:rPr>
          <w:bCs/>
          <w:iCs/>
          <w:szCs w:val="24"/>
        </w:rPr>
        <w:t xml:space="preserve">, the </w:t>
      </w:r>
      <w:r w:rsidRPr="00295200">
        <w:rPr>
          <w:bCs/>
          <w:i/>
          <w:iCs/>
          <w:szCs w:val="24"/>
        </w:rPr>
        <w:t>Minister</w:t>
      </w:r>
      <w:r w:rsidRPr="00295200">
        <w:rPr>
          <w:bCs/>
          <w:iCs/>
          <w:szCs w:val="24"/>
        </w:rPr>
        <w:t xml:space="preserve"> will write to the relevant </w:t>
      </w:r>
      <w:r w:rsidRPr="00295200">
        <w:rPr>
          <w:bCs/>
          <w:i/>
          <w:iCs/>
          <w:szCs w:val="24"/>
        </w:rPr>
        <w:t>state</w:t>
      </w:r>
      <w:r w:rsidRPr="00295200">
        <w:rPr>
          <w:bCs/>
          <w:iCs/>
          <w:szCs w:val="24"/>
        </w:rPr>
        <w:t xml:space="preserve">. </w:t>
      </w:r>
    </w:p>
    <w:p w:rsidR="00E43EEF" w:rsidRPr="00A76C25" w:rsidRDefault="00E43EEF" w:rsidP="00E43EEF">
      <w:pPr>
        <w:pStyle w:val="ListBullet2"/>
        <w:numPr>
          <w:ilvl w:val="0"/>
          <w:numId w:val="29"/>
        </w:numPr>
        <w:spacing w:before="60" w:line="276" w:lineRule="auto"/>
        <w:ind w:left="1077" w:hanging="357"/>
        <w:rPr>
          <w:rFonts w:cstheme="minorHAnsi"/>
          <w:bCs/>
          <w:iCs/>
          <w:szCs w:val="24"/>
        </w:rPr>
      </w:pPr>
      <w:r w:rsidRPr="00A76C25">
        <w:rPr>
          <w:rFonts w:cstheme="minorHAnsi"/>
          <w:bCs/>
          <w:iCs/>
          <w:szCs w:val="24"/>
        </w:rPr>
        <w:t xml:space="preserve">Upon verification that the </w:t>
      </w:r>
      <w:r w:rsidR="001F1F74" w:rsidRPr="00A76C25">
        <w:rPr>
          <w:rFonts w:cstheme="minorHAnsi"/>
          <w:bCs/>
          <w:iCs/>
          <w:szCs w:val="24"/>
        </w:rPr>
        <w:t>event</w:t>
      </w:r>
      <w:r w:rsidRPr="00A76C25">
        <w:rPr>
          <w:rFonts w:cstheme="minorHAnsi"/>
          <w:bCs/>
          <w:iCs/>
          <w:szCs w:val="24"/>
        </w:rPr>
        <w:t xml:space="preserve"> is a </w:t>
      </w:r>
      <w:r w:rsidRPr="00A76C25">
        <w:rPr>
          <w:rFonts w:cstheme="minorHAnsi"/>
          <w:bCs/>
          <w:i/>
          <w:iCs/>
          <w:szCs w:val="24"/>
        </w:rPr>
        <w:t>terrorist act</w:t>
      </w:r>
      <w:r w:rsidRPr="00A76C25">
        <w:rPr>
          <w:rFonts w:cstheme="minorHAnsi"/>
          <w:bCs/>
          <w:iCs/>
          <w:szCs w:val="24"/>
        </w:rPr>
        <w:t xml:space="preserve"> under the </w:t>
      </w:r>
      <w:r w:rsidR="006B47BE" w:rsidRPr="00A76C25">
        <w:rPr>
          <w:rFonts w:cstheme="minorHAnsi"/>
          <w:bCs/>
          <w:i/>
          <w:iCs/>
          <w:szCs w:val="24"/>
        </w:rPr>
        <w:t>arrangements</w:t>
      </w:r>
      <w:r w:rsidRPr="00A76C25">
        <w:rPr>
          <w:rFonts w:cstheme="minorHAnsi"/>
          <w:bCs/>
          <w:iCs/>
          <w:szCs w:val="24"/>
        </w:rPr>
        <w:t xml:space="preserve">, the </w:t>
      </w:r>
      <w:r w:rsidRPr="00A76C25">
        <w:rPr>
          <w:rFonts w:cstheme="minorHAnsi"/>
          <w:bCs/>
          <w:i/>
          <w:iCs/>
          <w:szCs w:val="24"/>
        </w:rPr>
        <w:t>state</w:t>
      </w:r>
      <w:r w:rsidRPr="00A76C25">
        <w:rPr>
          <w:rFonts w:cstheme="minorHAnsi"/>
          <w:bCs/>
          <w:iCs/>
          <w:szCs w:val="24"/>
        </w:rPr>
        <w:t xml:space="preserve"> would follow the notification process as outlined in clause </w:t>
      </w:r>
      <w:r w:rsidR="002B6928" w:rsidRPr="00A76C25">
        <w:rPr>
          <w:rFonts w:cstheme="minorHAnsi"/>
          <w:bCs/>
          <w:iCs/>
          <w:szCs w:val="24"/>
        </w:rPr>
        <w:t>5.1</w:t>
      </w:r>
      <w:r w:rsidRPr="00A76C25">
        <w:rPr>
          <w:rFonts w:cstheme="minorHAnsi"/>
          <w:bCs/>
          <w:iCs/>
          <w:szCs w:val="24"/>
        </w:rPr>
        <w:t>.</w:t>
      </w:r>
    </w:p>
    <w:p w:rsidR="00E43EEF" w:rsidRPr="00A76C25" w:rsidRDefault="00E43EEF" w:rsidP="00E43EEF">
      <w:pPr>
        <w:pStyle w:val="Bullet1"/>
        <w:spacing w:before="60" w:after="120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A76C25">
        <w:rPr>
          <w:rFonts w:asciiTheme="minorHAnsi" w:hAnsiTheme="minorHAnsi" w:cstheme="minorHAnsi"/>
          <w:sz w:val="20"/>
          <w:szCs w:val="20"/>
        </w:rPr>
        <w:t xml:space="preserve">It is worth noting that for the purposes of clause </w:t>
      </w:r>
      <w:r w:rsidR="002B6928" w:rsidRPr="00A76C25">
        <w:rPr>
          <w:rFonts w:asciiTheme="minorHAnsi" w:hAnsiTheme="minorHAnsi" w:cstheme="minorHAnsi"/>
          <w:sz w:val="20"/>
          <w:szCs w:val="20"/>
        </w:rPr>
        <w:t>5.1</w:t>
      </w:r>
      <w:r w:rsidRPr="00A76C25">
        <w:rPr>
          <w:rFonts w:asciiTheme="minorHAnsi" w:hAnsiTheme="minorHAnsi" w:cstheme="minorHAnsi"/>
          <w:sz w:val="20"/>
          <w:szCs w:val="20"/>
        </w:rPr>
        <w:t xml:space="preserve">, the state cannot notify that the </w:t>
      </w:r>
      <w:r w:rsidRPr="00A76C25">
        <w:rPr>
          <w:rFonts w:asciiTheme="minorHAnsi" w:hAnsiTheme="minorHAnsi" w:cstheme="minorHAnsi"/>
          <w:i/>
          <w:sz w:val="20"/>
          <w:szCs w:val="20"/>
        </w:rPr>
        <w:t>terrorist act</w:t>
      </w:r>
      <w:r w:rsidRPr="00A76C25">
        <w:rPr>
          <w:rFonts w:asciiTheme="minorHAnsi" w:hAnsiTheme="minorHAnsi" w:cstheme="minorHAnsi"/>
          <w:sz w:val="20"/>
          <w:szCs w:val="20"/>
        </w:rPr>
        <w:t xml:space="preserve"> is an </w:t>
      </w:r>
      <w:r w:rsidRPr="00A76C25">
        <w:rPr>
          <w:rFonts w:asciiTheme="minorHAnsi" w:hAnsiTheme="minorHAnsi" w:cstheme="minorHAnsi"/>
          <w:i/>
          <w:sz w:val="20"/>
          <w:szCs w:val="20"/>
        </w:rPr>
        <w:t>eligible disaster</w:t>
      </w:r>
      <w:r w:rsidRPr="00A76C25">
        <w:rPr>
          <w:rFonts w:asciiTheme="minorHAnsi" w:hAnsiTheme="minorHAnsi" w:cstheme="minorHAnsi"/>
          <w:sz w:val="20"/>
          <w:szCs w:val="20"/>
        </w:rPr>
        <w:t xml:space="preserve"> until it receives a letter from the </w:t>
      </w:r>
      <w:r w:rsidRPr="00A76C25">
        <w:rPr>
          <w:rFonts w:asciiTheme="minorHAnsi" w:hAnsiTheme="minorHAnsi" w:cstheme="minorHAnsi"/>
          <w:i/>
          <w:sz w:val="20"/>
          <w:szCs w:val="20"/>
        </w:rPr>
        <w:t>Minister</w:t>
      </w:r>
      <w:r w:rsidRPr="00A76C25">
        <w:rPr>
          <w:rFonts w:asciiTheme="minorHAnsi" w:hAnsiTheme="minorHAnsi" w:cstheme="minorHAnsi"/>
          <w:sz w:val="20"/>
          <w:szCs w:val="20"/>
        </w:rPr>
        <w:t xml:space="preserve"> or </w:t>
      </w:r>
      <w:r w:rsidRPr="00A76C25">
        <w:rPr>
          <w:rFonts w:asciiTheme="minorHAnsi" w:hAnsiTheme="minorHAnsi" w:cstheme="minorHAnsi"/>
          <w:i/>
          <w:sz w:val="20"/>
          <w:szCs w:val="20"/>
        </w:rPr>
        <w:t>department</w:t>
      </w:r>
      <w:r w:rsidRPr="00A76C25">
        <w:rPr>
          <w:rFonts w:asciiTheme="minorHAnsi" w:hAnsiTheme="minorHAnsi" w:cstheme="minorHAnsi"/>
          <w:sz w:val="20"/>
          <w:szCs w:val="20"/>
        </w:rPr>
        <w:t>. This means that the three (3) month period for notification could not commence any earlier than the date of the letter.</w:t>
      </w:r>
    </w:p>
    <w:p w:rsidR="00294BB8" w:rsidRPr="00FF1C0D" w:rsidRDefault="00E43EEF" w:rsidP="00FF1C0D">
      <w:pPr>
        <w:pStyle w:val="Bullet1"/>
        <w:spacing w:before="60" w:after="1680"/>
        <w:ind w:left="357" w:hanging="357"/>
        <w:contextualSpacing w:val="0"/>
        <w:rPr>
          <w:rFonts w:asciiTheme="minorHAnsi" w:hAnsiTheme="minorHAnsi" w:cstheme="minorHAnsi"/>
          <w:sz w:val="20"/>
        </w:rPr>
      </w:pPr>
      <w:r w:rsidRPr="00A76C25">
        <w:rPr>
          <w:rFonts w:asciiTheme="minorHAnsi" w:hAnsiTheme="minorHAnsi" w:cstheme="minorHAnsi"/>
          <w:sz w:val="20"/>
        </w:rPr>
        <w:t xml:space="preserve">Due to the sensitivities of the </w:t>
      </w:r>
      <w:r w:rsidRPr="00A76C25">
        <w:rPr>
          <w:rFonts w:asciiTheme="minorHAnsi" w:hAnsiTheme="minorHAnsi" w:cstheme="minorHAnsi"/>
          <w:i/>
          <w:sz w:val="20"/>
        </w:rPr>
        <w:t>terrorist act</w:t>
      </w:r>
      <w:r w:rsidRPr="00A76C25">
        <w:rPr>
          <w:rFonts w:asciiTheme="minorHAnsi" w:hAnsiTheme="minorHAnsi" w:cstheme="minorHAnsi"/>
          <w:sz w:val="20"/>
        </w:rPr>
        <w:t xml:space="preserve">, the </w:t>
      </w:r>
      <w:r w:rsidRPr="00A76C25">
        <w:rPr>
          <w:rFonts w:asciiTheme="minorHAnsi" w:hAnsiTheme="minorHAnsi" w:cstheme="minorHAnsi"/>
          <w:i/>
          <w:sz w:val="20"/>
        </w:rPr>
        <w:t>state</w:t>
      </w:r>
      <w:r w:rsidRPr="00A76C25">
        <w:rPr>
          <w:rFonts w:asciiTheme="minorHAnsi" w:hAnsiTheme="minorHAnsi" w:cstheme="minorHAnsi"/>
          <w:sz w:val="20"/>
        </w:rPr>
        <w:t xml:space="preserve"> may choose to seek the agreement of the </w:t>
      </w:r>
      <w:r w:rsidRPr="00A76C25">
        <w:rPr>
          <w:rFonts w:asciiTheme="minorHAnsi" w:hAnsiTheme="minorHAnsi" w:cstheme="minorHAnsi"/>
          <w:i/>
          <w:sz w:val="20"/>
        </w:rPr>
        <w:t>Commonwealth</w:t>
      </w:r>
      <w:r w:rsidRPr="00A76C25">
        <w:rPr>
          <w:rFonts w:asciiTheme="minorHAnsi" w:hAnsiTheme="minorHAnsi" w:cstheme="minorHAnsi"/>
          <w:sz w:val="20"/>
        </w:rPr>
        <w:t xml:space="preserve">, or the </w:t>
      </w:r>
      <w:r w:rsidRPr="00A76C25">
        <w:rPr>
          <w:rFonts w:asciiTheme="minorHAnsi" w:hAnsiTheme="minorHAnsi" w:cstheme="minorHAnsi"/>
          <w:i/>
          <w:sz w:val="20"/>
        </w:rPr>
        <w:t>Commonwealth</w:t>
      </w:r>
      <w:r w:rsidRPr="00A76C25">
        <w:rPr>
          <w:rFonts w:asciiTheme="minorHAnsi" w:hAnsiTheme="minorHAnsi" w:cstheme="minorHAnsi"/>
          <w:sz w:val="20"/>
        </w:rPr>
        <w:t xml:space="preserve"> may direct the </w:t>
      </w:r>
      <w:r w:rsidRPr="00A76C25">
        <w:rPr>
          <w:rFonts w:asciiTheme="minorHAnsi" w:hAnsiTheme="minorHAnsi" w:cstheme="minorHAnsi"/>
          <w:i/>
          <w:sz w:val="20"/>
        </w:rPr>
        <w:t>state</w:t>
      </w:r>
      <w:r w:rsidRPr="00A76C25">
        <w:rPr>
          <w:rFonts w:asciiTheme="minorHAnsi" w:hAnsiTheme="minorHAnsi" w:cstheme="minorHAnsi"/>
          <w:sz w:val="20"/>
        </w:rPr>
        <w:t xml:space="preserve">, not to issue a media release (under clause </w:t>
      </w:r>
      <w:r w:rsidR="002B6928" w:rsidRPr="00A76C25">
        <w:rPr>
          <w:rFonts w:asciiTheme="minorHAnsi" w:hAnsiTheme="minorHAnsi" w:cstheme="minorHAnsi"/>
          <w:sz w:val="20"/>
        </w:rPr>
        <w:t>5.2.1</w:t>
      </w:r>
      <w:r w:rsidRPr="00A76C25">
        <w:rPr>
          <w:rFonts w:asciiTheme="minorHAnsi" w:hAnsiTheme="minorHAnsi" w:cstheme="minorHAnsi"/>
          <w:sz w:val="20"/>
        </w:rPr>
        <w:t xml:space="preserve"> of the </w:t>
      </w:r>
      <w:r w:rsidR="002B6928" w:rsidRPr="00A76C25">
        <w:rPr>
          <w:rFonts w:asciiTheme="minorHAnsi" w:hAnsiTheme="minorHAnsi" w:cstheme="minorHAnsi"/>
          <w:i/>
          <w:sz w:val="20"/>
        </w:rPr>
        <w:t>arrangements</w:t>
      </w:r>
      <w:r w:rsidRPr="00A76C25">
        <w:rPr>
          <w:rFonts w:asciiTheme="minorHAnsi" w:hAnsiTheme="minorHAnsi" w:cstheme="minorHAnsi"/>
          <w:sz w:val="20"/>
        </w:rPr>
        <w:t>)</w:t>
      </w:r>
      <w:r w:rsidRPr="00A76C25">
        <w:rPr>
          <w:rFonts w:asciiTheme="minorHAnsi" w:hAnsiTheme="minorHAnsi" w:cstheme="minorHAnsi"/>
          <w:i/>
          <w:sz w:val="20"/>
        </w:rPr>
        <w:t xml:space="preserve"> </w:t>
      </w:r>
      <w:r w:rsidRPr="00A76C25">
        <w:rPr>
          <w:rFonts w:asciiTheme="minorHAnsi" w:hAnsiTheme="minorHAnsi" w:cstheme="minorHAnsi"/>
          <w:sz w:val="20"/>
        </w:rPr>
        <w:t>announcing some or all of the assistance measures provided.</w:t>
      </w:r>
    </w:p>
    <w:sectPr w:rsidR="00294BB8" w:rsidRPr="00FF1C0D" w:rsidSect="00FF1C0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9E" w:rsidRDefault="00C03A9E" w:rsidP="00185154">
      <w:r>
        <w:separator/>
      </w:r>
    </w:p>
    <w:p w:rsidR="00C03A9E" w:rsidRDefault="00C03A9E"/>
  </w:endnote>
  <w:endnote w:type="continuationSeparator" w:id="0">
    <w:p w:rsidR="00C03A9E" w:rsidRDefault="00C03A9E" w:rsidP="00185154">
      <w:r>
        <w:continuationSeparator/>
      </w:r>
    </w:p>
    <w:p w:rsidR="00C03A9E" w:rsidRDefault="00C03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Default="00EC2D0D" w:rsidP="001E2EFC">
    <w:pPr>
      <w:pStyle w:val="Footer"/>
      <w:framePr w:wrap="around" w:vAnchor="text" w:hAnchor="margin" w:xAlign="right" w:y="1"/>
      <w:rPr>
        <w:rStyle w:val="PageNumber"/>
      </w:rPr>
    </w:pPr>
  </w:p>
  <w:p w:rsidR="00EC2D0D" w:rsidRPr="0030502B" w:rsidRDefault="009A52E2" w:rsidP="00842EA4">
    <w:pPr>
      <w:pStyle w:val="Protection"/>
      <w:spacing w:before="200"/>
    </w:pPr>
    <w:r w:rsidRPr="00C63B32">
      <w:rPr>
        <w:noProof/>
        <w:color w:val="DA0000"/>
        <w:lang w:eastAsia="en-AU"/>
      </w:rPr>
      <mc:AlternateContent>
        <mc:Choice Requires="wps">
          <w:drawing>
            <wp:inline distT="0" distB="0" distL="0" distR="0">
              <wp:extent cx="2009775" cy="361950"/>
              <wp:effectExtent l="0" t="0" r="9525" b="0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alias w:val="Title"/>
                            <w:tag w:val="Title"/>
                            <w:id w:val="-1572352104"/>
                            <w:placeholder>
                              <w:docPart w:val="D9A66DF589AA4FDE999586932551F91C"/>
                            </w:placeholder>
                            <w:dataBinding w:xpath="/root[1]/Title[1]" w:storeItemID="{00000000-0000-0000-0000-000000000000}"/>
                            <w:text/>
                          </w:sdtPr>
                          <w:sdtEndPr/>
                          <w:sdtContent>
                            <w:p w:rsidR="009A52E2" w:rsidRPr="009A52E2" w:rsidRDefault="000F726B" w:rsidP="009A52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Guideline 5 – Process for determining a terrorist act is an eligible disaster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5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" stroked="f">
              <v:textbox inset="0,0,0,0">
                <w:txbxContent>
                  <w:sdt>
                    <w:sdtPr>
                      <w:rPr>
                        <w:sz w:val="16"/>
                        <w:szCs w:val="16"/>
                      </w:rPr>
                      <w:alias w:val="Title"/>
                      <w:tag w:val="Title"/>
                      <w:id w:val="-1572352104"/>
                      <w:placeholder>
                        <w:docPart w:val="D9A66DF589AA4FDE999586932551F91C"/>
                      </w:placeholder>
                      <w:dataBinding w:xpath="/root[1]/Title[1]" w:storeItemID="{00000000-0000-0000-0000-000000000000}"/>
                      <w:text/>
                    </w:sdtPr>
                    <w:sdtEndPr/>
                    <w:sdtContent>
                      <w:p w:rsidR="009A52E2" w:rsidRPr="009A52E2" w:rsidRDefault="000F726B" w:rsidP="009A52E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Guideline 5 – Process for determining a terrorist act is an eligible disaster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 w:rsidR="00C63B32" w:rsidRPr="00C63B32">
      <w:rPr>
        <w:noProof/>
        <w:color w:val="DA0000"/>
        <w:lang w:eastAsia="en-AU"/>
      </w:rPr>
      <mc:AlternateContent>
        <mc:Choice Requires="wps">
          <w:drawing>
            <wp:inline distT="0" distB="0" distL="0" distR="0">
              <wp:extent cx="676800" cy="349200"/>
              <wp:effectExtent l="0" t="0" r="9525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32" w:rsidRPr="001E2C91" w:rsidRDefault="00C63B32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1C0D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1C0D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7" type="#_x0000_t202" style="width:53.3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" stroked="f">
              <v:textbox inset="0,0,0,0">
                <w:txbxContent>
                  <w:p w:rsidR="00C63B32" w:rsidRPr="001E2C91" w:rsidRDefault="00C63B32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F1C0D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F1C0D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sdt>
      <w:sdtPr>
        <w:alias w:val="DLM"/>
        <w:tag w:val="DLM"/>
        <w:id w:val="326406459"/>
        <w:dataBinding w:xpath="/ns0:Minute_Root[1]/ns0:dl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624D1B" w:rsidRDefault="00FF1C0D" w:rsidP="00C63B32">
    <w:pPr>
      <w:pStyle w:val="Protection"/>
    </w:pPr>
    <w:sdt>
      <w:sdtPr>
        <w:alias w:val="Protective Marking"/>
        <w:tag w:val="Protective Marking"/>
        <w:id w:val="-1666780497"/>
        <w:dataBinding w:xpath="/ns0:Minute_Root[1]/ns0:pm[1]" w:storeItemID="{00000000-0000-0000-0000-000000000000}"/>
        <w:text/>
      </w:sdtPr>
      <w:sdtEndPr/>
      <w:sdtContent>
        <w:r w:rsidR="009C4B98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Pr="00A417C1" w:rsidRDefault="00FF1C0D" w:rsidP="00842EA4">
    <w:pPr>
      <w:spacing w:before="200" w:after="120"/>
      <w:jc w:val="center"/>
      <w:rPr>
        <w:rFonts w:ascii="Arial" w:hAnsi="Arial" w:cs="Arial"/>
        <w:color w:val="C00000"/>
        <w:spacing w:val="-2"/>
        <w:szCs w:val="20"/>
        <w:lang w:val="en-US"/>
      </w:rPr>
    </w:pPr>
    <w:sdt>
      <w:sdtPr>
        <w:rPr>
          <w:rFonts w:ascii="Arial" w:hAnsi="Arial" w:cs="Arial"/>
          <w:color w:val="C00000"/>
          <w:spacing w:val="-2"/>
          <w:szCs w:val="20"/>
          <w:lang w:val="en-US"/>
        </w:rPr>
        <w:alias w:val="Sensitive Disclaimer"/>
        <w:tag w:val="SensitiveDisclaimer"/>
        <w:id w:val="-751899035"/>
        <w:dataBinding w:xpath="/ns0:Minute_Root[1]/ns0:disclaimer[1]" w:storeItemID="{00000000-0000-0000-0000-000000000000}"/>
        <w:text/>
      </w:sdtPr>
      <w:sdtEndPr/>
      <w:sdtContent>
        <w:r w:rsidR="009C4B98">
          <w:rPr>
            <w:rFonts w:ascii="Arial" w:hAnsi="Arial" w:cs="Arial"/>
            <w:color w:val="C00000"/>
            <w:spacing w:val="-2"/>
            <w:szCs w:val="20"/>
            <w:lang w:val="en-US"/>
          </w:rPr>
          <w:t xml:space="preserve"> </w:t>
        </w:r>
      </w:sdtContent>
    </w:sdt>
  </w:p>
  <w:p w:rsidR="00EC2D0D" w:rsidRPr="00E66A44" w:rsidRDefault="00FF1C0D" w:rsidP="001E2EFC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DLM"/>
        <w:tag w:val="DLM"/>
        <w:id w:val="-62642478"/>
        <w:dataBinding w:xpath="/ns0:Minute_Root[1]/ns0:dlm[1]" w:storeItemID="{00000000-0000-0000-0000-000000000000}"/>
        <w:text/>
      </w:sdtPr>
      <w:sdtEndPr/>
      <w:sdtContent>
        <w:r w:rsidR="009C4B98">
          <w:rPr>
            <w:rFonts w:ascii="Arial" w:hAnsi="Arial" w:cs="Arial"/>
            <w:b/>
            <w:color w:val="C00000"/>
            <w:sz w:val="28"/>
            <w:szCs w:val="28"/>
          </w:rPr>
          <w:t xml:space="preserve"> </w:t>
        </w:r>
      </w:sdtContent>
    </w:sdt>
  </w:p>
  <w:p w:rsidR="004F7EDF" w:rsidRDefault="00FF1C0D" w:rsidP="0042661D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Protective Marking"/>
        <w:tag w:val="Protective Marking"/>
        <w:id w:val="-1781407556"/>
        <w:dataBinding w:xpath="/ns0:Minute_Root[1]/ns0:pm[1]" w:storeItemID="{00000000-0000-0000-0000-000000000000}"/>
        <w:text/>
      </w:sdtPr>
      <w:sdtEndPr/>
      <w:sdtContent>
        <w:r w:rsidR="009C4B98">
          <w:rPr>
            <w:rFonts w:ascii="Arial" w:hAnsi="Arial" w:cs="Arial"/>
            <w:b/>
            <w:color w:val="C00000"/>
            <w:sz w:val="28"/>
            <w:szCs w:val="28"/>
          </w:rPr>
          <w:t xml:space="preserve"> </w:t>
        </w:r>
      </w:sdtContent>
    </w:sdt>
  </w:p>
  <w:p w:rsidR="00EC2D0D" w:rsidRPr="00526448" w:rsidRDefault="00553A95" w:rsidP="0042661D">
    <w:pPr>
      <w:jc w:val="center"/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9E" w:rsidRDefault="00C03A9E" w:rsidP="00185154">
      <w:r>
        <w:separator/>
      </w:r>
    </w:p>
    <w:p w:rsidR="00C03A9E" w:rsidRDefault="00C03A9E"/>
  </w:footnote>
  <w:footnote w:type="continuationSeparator" w:id="0">
    <w:p w:rsidR="00C03A9E" w:rsidRDefault="00C03A9E" w:rsidP="00185154">
      <w:r>
        <w:continuationSeparator/>
      </w:r>
    </w:p>
    <w:p w:rsidR="00C03A9E" w:rsidRDefault="00C03A9E"/>
  </w:footnote>
  <w:footnote w:id="1">
    <w:p w:rsidR="00E43EEF" w:rsidRPr="005E6096" w:rsidRDefault="00E43EEF" w:rsidP="00E43EEF">
      <w:pPr>
        <w:pStyle w:val="FootnoteText"/>
        <w:rPr>
          <w:sz w:val="18"/>
          <w:szCs w:val="18"/>
        </w:rPr>
      </w:pPr>
      <w:r w:rsidRPr="005E6096">
        <w:rPr>
          <w:rStyle w:val="FootnoteReference"/>
          <w:sz w:val="18"/>
          <w:szCs w:val="18"/>
        </w:rPr>
        <w:footnoteRef/>
      </w:r>
      <w:r w:rsidRPr="005E6096">
        <w:rPr>
          <w:sz w:val="18"/>
          <w:szCs w:val="18"/>
        </w:rPr>
        <w:t xml:space="preserve"> </w:t>
      </w:r>
      <w:r w:rsidRPr="005E6096">
        <w:rPr>
          <w:rFonts w:asciiTheme="minorHAnsi" w:hAnsiTheme="minorHAnsi"/>
          <w:bCs/>
          <w:iCs/>
          <w:sz w:val="18"/>
          <w:szCs w:val="18"/>
        </w:rPr>
        <w:t xml:space="preserve">The Prime Minister can declare an event a terrorist act under the </w:t>
      </w:r>
      <w:r w:rsidRPr="005E6096">
        <w:rPr>
          <w:rFonts w:asciiTheme="minorHAnsi" w:hAnsiTheme="minorHAnsi"/>
          <w:bCs/>
          <w:i/>
          <w:iCs/>
          <w:sz w:val="18"/>
          <w:szCs w:val="18"/>
        </w:rPr>
        <w:t>Social Security Act 1991</w:t>
      </w:r>
      <w:r w:rsidRPr="005E6096">
        <w:rPr>
          <w:rFonts w:asciiTheme="minorHAnsi" w:hAnsiTheme="minorHAnsi"/>
          <w:bCs/>
          <w:iCs/>
          <w:sz w:val="18"/>
          <w:szCs w:val="18"/>
        </w:rPr>
        <w:t xml:space="preserve"> for AVTOP (offshore events only).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95" w:rsidRDefault="00553A95" w:rsidP="00553A95">
    <w:pPr>
      <w:pStyle w:val="Protection"/>
      <w:spacing w:before="120"/>
    </w:pPr>
  </w:p>
  <w:p w:rsidR="00EC2D0D" w:rsidRPr="0030502B" w:rsidRDefault="00FF1C0D" w:rsidP="007456D0">
    <w:pPr>
      <w:pStyle w:val="Protection"/>
      <w:spacing w:before="600"/>
    </w:pPr>
    <w:sdt>
      <w:sdtPr>
        <w:alias w:val="Protective Marking"/>
        <w:tag w:val="Protective Marking"/>
        <w:id w:val="-251892533"/>
        <w:placeholder>
          <w:docPart w:val="477C97419935415DA52F56D7A3A5AA4D"/>
        </w:placeholder>
        <w:dataBinding w:xpath="/ns0:Minute_Root[1]/ns0:p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30502B" w:rsidRDefault="00FF1C0D" w:rsidP="001E2EFC">
    <w:pPr>
      <w:pStyle w:val="Protection"/>
    </w:pPr>
    <w:sdt>
      <w:sdtPr>
        <w:alias w:val="DLM"/>
        <w:tag w:val="DLM"/>
        <w:id w:val="-1417079864"/>
        <w:placeholder>
          <w:docPart w:val="D9A66DF589AA4FDE999586932551F91C"/>
        </w:placeholder>
        <w:dataBinding w:xpath="/ns0:Minute_Root[1]/ns0:dlm[1]" w:storeItemID="{00000000-0000-0000-0000-000000000000}"/>
        <w:text/>
      </w:sdtPr>
      <w:sdtEndPr/>
      <w:sdtContent>
        <w:r w:rsidR="009C4B98">
          <w:t xml:space="preserve"> </w:t>
        </w:r>
      </w:sdtContent>
    </w:sdt>
  </w:p>
  <w:p w:rsidR="00EC2D0D" w:rsidRPr="00250BFB" w:rsidRDefault="00EC2D0D" w:rsidP="001E2EFC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0D" w:rsidRDefault="00FF1C0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085" cy="1066228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MA_HEADER (LOGO-ONLY)_A4_DR-3108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B8D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6FA4D05"/>
    <w:multiLevelType w:val="multilevel"/>
    <w:tmpl w:val="BDFC207A"/>
    <w:numStyleLink w:val="ListTableNumber"/>
  </w:abstractNum>
  <w:abstractNum w:abstractNumId="3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D457C5"/>
    <w:multiLevelType w:val="multilevel"/>
    <w:tmpl w:val="624681D2"/>
    <w:numStyleLink w:val="ListTableBullet"/>
  </w:abstractNum>
  <w:abstractNum w:abstractNumId="5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23E96BF8"/>
    <w:multiLevelType w:val="multilevel"/>
    <w:tmpl w:val="4A4A7EFE"/>
    <w:numStyleLink w:val="ListNumberedHeadings"/>
  </w:abstractNum>
  <w:abstractNum w:abstractNumId="8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6B94A70"/>
    <w:multiLevelType w:val="hybridMultilevel"/>
    <w:tmpl w:val="B91CDAE4"/>
    <w:lvl w:ilvl="0" w:tplc="BAE45EF8">
      <w:start w:val="1"/>
      <w:numFmt w:val="decimal"/>
      <w:pStyle w:val="Bullet1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A7331F"/>
    <w:multiLevelType w:val="multilevel"/>
    <w:tmpl w:val="B9602BC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 w15:restartNumberingAfterBreak="0">
    <w:nsid w:val="4814788C"/>
    <w:multiLevelType w:val="multilevel"/>
    <w:tmpl w:val="D236F3D6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50AC26F0"/>
    <w:multiLevelType w:val="hybridMultilevel"/>
    <w:tmpl w:val="0BF03C4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9BD7B27"/>
    <w:multiLevelType w:val="hybridMultilevel"/>
    <w:tmpl w:val="A984A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1540"/>
    <w:multiLevelType w:val="hybridMultilevel"/>
    <w:tmpl w:val="D7A68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F411CE"/>
    <w:multiLevelType w:val="hybridMultilevel"/>
    <w:tmpl w:val="B9FED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C54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B1230"/>
    <w:multiLevelType w:val="hybridMultilevel"/>
    <w:tmpl w:val="9BE66054"/>
    <w:lvl w:ilvl="0" w:tplc="0AE2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A15FB9"/>
    <w:multiLevelType w:val="hybridMultilevel"/>
    <w:tmpl w:val="EC5066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5C5C5C"/>
      </w:rPr>
    </w:lvl>
    <w:lvl w:ilvl="1" w:tplc="F1ACFA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97005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54775B"/>
    <w:multiLevelType w:val="hybridMultilevel"/>
    <w:tmpl w:val="6D585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3F82"/>
    <w:multiLevelType w:val="multilevel"/>
    <w:tmpl w:val="74B02582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71087DF2"/>
    <w:multiLevelType w:val="hybridMultilevel"/>
    <w:tmpl w:val="EF647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4D1409D"/>
    <w:multiLevelType w:val="hybridMultilevel"/>
    <w:tmpl w:val="4C20CA80"/>
    <w:lvl w:ilvl="0" w:tplc="D42C2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21"/>
  </w:num>
  <w:num w:numId="9">
    <w:abstractNumId w:val="26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9"/>
  </w:num>
  <w:num w:numId="17">
    <w:abstractNumId w:val="14"/>
  </w:num>
  <w:num w:numId="18">
    <w:abstractNumId w:val="0"/>
  </w:num>
  <w:num w:numId="19">
    <w:abstractNumId w:val="13"/>
  </w:num>
  <w:num w:numId="20">
    <w:abstractNumId w:val="18"/>
  </w:num>
  <w:num w:numId="21">
    <w:abstractNumId w:val="17"/>
  </w:num>
  <w:num w:numId="22">
    <w:abstractNumId w:val="23"/>
  </w:num>
  <w:num w:numId="23">
    <w:abstractNumId w:val="19"/>
  </w:num>
  <w:num w:numId="24">
    <w:abstractNumId w:val="25"/>
  </w:num>
  <w:num w:numId="25">
    <w:abstractNumId w:val="20"/>
  </w:num>
  <w:num w:numId="26">
    <w:abstractNumId w:val="27"/>
  </w:num>
  <w:num w:numId="27">
    <w:abstractNumId w:val="22"/>
  </w:num>
  <w:num w:numId="28">
    <w:abstractNumId w:val="10"/>
  </w:num>
  <w:num w:numId="29">
    <w:abstractNumId w:val="15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B8"/>
    <w:rsid w:val="000009AE"/>
    <w:rsid w:val="00001FCE"/>
    <w:rsid w:val="00006100"/>
    <w:rsid w:val="00012E82"/>
    <w:rsid w:val="00035103"/>
    <w:rsid w:val="000427B8"/>
    <w:rsid w:val="0006554A"/>
    <w:rsid w:val="00071C7D"/>
    <w:rsid w:val="00076F97"/>
    <w:rsid w:val="000870BB"/>
    <w:rsid w:val="00087D93"/>
    <w:rsid w:val="00094C0B"/>
    <w:rsid w:val="000B3EBE"/>
    <w:rsid w:val="000B6FA1"/>
    <w:rsid w:val="000C0C22"/>
    <w:rsid w:val="000C1D1E"/>
    <w:rsid w:val="000C3DB1"/>
    <w:rsid w:val="000E196E"/>
    <w:rsid w:val="000F4A35"/>
    <w:rsid w:val="000F726B"/>
    <w:rsid w:val="001063C6"/>
    <w:rsid w:val="00107EFC"/>
    <w:rsid w:val="00117D6E"/>
    <w:rsid w:val="00123B5A"/>
    <w:rsid w:val="0013218E"/>
    <w:rsid w:val="00137FA3"/>
    <w:rsid w:val="00143B7F"/>
    <w:rsid w:val="00145CCD"/>
    <w:rsid w:val="001505D8"/>
    <w:rsid w:val="00152BCD"/>
    <w:rsid w:val="00154790"/>
    <w:rsid w:val="00156423"/>
    <w:rsid w:val="001600E5"/>
    <w:rsid w:val="001735C5"/>
    <w:rsid w:val="001829A7"/>
    <w:rsid w:val="00185154"/>
    <w:rsid w:val="0019114D"/>
    <w:rsid w:val="001C2D8B"/>
    <w:rsid w:val="001D7AC6"/>
    <w:rsid w:val="001E2C91"/>
    <w:rsid w:val="001E2EFC"/>
    <w:rsid w:val="001E3283"/>
    <w:rsid w:val="001F16CA"/>
    <w:rsid w:val="001F1F74"/>
    <w:rsid w:val="002078C1"/>
    <w:rsid w:val="002106C4"/>
    <w:rsid w:val="00210DEF"/>
    <w:rsid w:val="00216A2D"/>
    <w:rsid w:val="00216BC2"/>
    <w:rsid w:val="00222215"/>
    <w:rsid w:val="00247BEF"/>
    <w:rsid w:val="0025119D"/>
    <w:rsid w:val="00252201"/>
    <w:rsid w:val="00254DD8"/>
    <w:rsid w:val="002903A9"/>
    <w:rsid w:val="00294BB8"/>
    <w:rsid w:val="002A2941"/>
    <w:rsid w:val="002A3C3C"/>
    <w:rsid w:val="002B4003"/>
    <w:rsid w:val="002B6928"/>
    <w:rsid w:val="002C1965"/>
    <w:rsid w:val="002C5B1C"/>
    <w:rsid w:val="002D0093"/>
    <w:rsid w:val="002D4254"/>
    <w:rsid w:val="002D4927"/>
    <w:rsid w:val="002D4E6E"/>
    <w:rsid w:val="002F1863"/>
    <w:rsid w:val="002F4862"/>
    <w:rsid w:val="002F65FC"/>
    <w:rsid w:val="00301893"/>
    <w:rsid w:val="00322908"/>
    <w:rsid w:val="003411DD"/>
    <w:rsid w:val="0037398C"/>
    <w:rsid w:val="00374442"/>
    <w:rsid w:val="0037618F"/>
    <w:rsid w:val="003853C1"/>
    <w:rsid w:val="003A04C1"/>
    <w:rsid w:val="003A08A5"/>
    <w:rsid w:val="003A1ACB"/>
    <w:rsid w:val="003A5933"/>
    <w:rsid w:val="003B0945"/>
    <w:rsid w:val="003B097F"/>
    <w:rsid w:val="003B182E"/>
    <w:rsid w:val="003B4DCF"/>
    <w:rsid w:val="003C53D0"/>
    <w:rsid w:val="003D3B71"/>
    <w:rsid w:val="003D56AF"/>
    <w:rsid w:val="003E1EF3"/>
    <w:rsid w:val="003E5319"/>
    <w:rsid w:val="003F3A1C"/>
    <w:rsid w:val="004041DA"/>
    <w:rsid w:val="00404615"/>
    <w:rsid w:val="00407776"/>
    <w:rsid w:val="00421159"/>
    <w:rsid w:val="0042661D"/>
    <w:rsid w:val="00427353"/>
    <w:rsid w:val="0043564D"/>
    <w:rsid w:val="0043628A"/>
    <w:rsid w:val="00442F90"/>
    <w:rsid w:val="00444AE6"/>
    <w:rsid w:val="004478FD"/>
    <w:rsid w:val="00462A18"/>
    <w:rsid w:val="004700B3"/>
    <w:rsid w:val="004822DA"/>
    <w:rsid w:val="00491C59"/>
    <w:rsid w:val="004A347D"/>
    <w:rsid w:val="004B7DAE"/>
    <w:rsid w:val="004C0889"/>
    <w:rsid w:val="004D0681"/>
    <w:rsid w:val="004E79A4"/>
    <w:rsid w:val="004F2A3C"/>
    <w:rsid w:val="004F3D6F"/>
    <w:rsid w:val="004F7EDF"/>
    <w:rsid w:val="0051056D"/>
    <w:rsid w:val="00515902"/>
    <w:rsid w:val="005211B6"/>
    <w:rsid w:val="00522D54"/>
    <w:rsid w:val="00526448"/>
    <w:rsid w:val="005331C9"/>
    <w:rsid w:val="00543796"/>
    <w:rsid w:val="0055219D"/>
    <w:rsid w:val="0055353F"/>
    <w:rsid w:val="00553A95"/>
    <w:rsid w:val="005563CA"/>
    <w:rsid w:val="0056633F"/>
    <w:rsid w:val="005713E5"/>
    <w:rsid w:val="005744CF"/>
    <w:rsid w:val="005850B9"/>
    <w:rsid w:val="005A435A"/>
    <w:rsid w:val="005A513C"/>
    <w:rsid w:val="005B00A1"/>
    <w:rsid w:val="005B0C40"/>
    <w:rsid w:val="005C6403"/>
    <w:rsid w:val="005D620B"/>
    <w:rsid w:val="005E259B"/>
    <w:rsid w:val="006025ED"/>
    <w:rsid w:val="0061089F"/>
    <w:rsid w:val="00616C8C"/>
    <w:rsid w:val="00620224"/>
    <w:rsid w:val="00624D1B"/>
    <w:rsid w:val="00633235"/>
    <w:rsid w:val="0065325A"/>
    <w:rsid w:val="0066257B"/>
    <w:rsid w:val="00662FA6"/>
    <w:rsid w:val="00674316"/>
    <w:rsid w:val="00675FEF"/>
    <w:rsid w:val="006833BC"/>
    <w:rsid w:val="0068345C"/>
    <w:rsid w:val="00684E74"/>
    <w:rsid w:val="00696A24"/>
    <w:rsid w:val="006A1801"/>
    <w:rsid w:val="006B45C9"/>
    <w:rsid w:val="006B47BE"/>
    <w:rsid w:val="006D048D"/>
    <w:rsid w:val="006D22C5"/>
    <w:rsid w:val="006E0769"/>
    <w:rsid w:val="006E1A0F"/>
    <w:rsid w:val="006E347F"/>
    <w:rsid w:val="006F49EE"/>
    <w:rsid w:val="007270EB"/>
    <w:rsid w:val="00734EA7"/>
    <w:rsid w:val="007456D0"/>
    <w:rsid w:val="0074597C"/>
    <w:rsid w:val="00751C75"/>
    <w:rsid w:val="007640A4"/>
    <w:rsid w:val="00765BC3"/>
    <w:rsid w:val="00770BF1"/>
    <w:rsid w:val="00774E81"/>
    <w:rsid w:val="00782617"/>
    <w:rsid w:val="00786081"/>
    <w:rsid w:val="007905C5"/>
    <w:rsid w:val="00797A04"/>
    <w:rsid w:val="007A5346"/>
    <w:rsid w:val="007C32F6"/>
    <w:rsid w:val="007E38AA"/>
    <w:rsid w:val="007F220F"/>
    <w:rsid w:val="008041FE"/>
    <w:rsid w:val="00817D6F"/>
    <w:rsid w:val="00820395"/>
    <w:rsid w:val="00822503"/>
    <w:rsid w:val="00842EA4"/>
    <w:rsid w:val="00845732"/>
    <w:rsid w:val="00846D92"/>
    <w:rsid w:val="008572D9"/>
    <w:rsid w:val="00861E13"/>
    <w:rsid w:val="008715D5"/>
    <w:rsid w:val="00883FB9"/>
    <w:rsid w:val="008842EB"/>
    <w:rsid w:val="008921D5"/>
    <w:rsid w:val="00892496"/>
    <w:rsid w:val="008A45CA"/>
    <w:rsid w:val="008A5ED9"/>
    <w:rsid w:val="008A6F22"/>
    <w:rsid w:val="008B5D8F"/>
    <w:rsid w:val="008C4554"/>
    <w:rsid w:val="008C7CEE"/>
    <w:rsid w:val="008C7DCF"/>
    <w:rsid w:val="008D36D0"/>
    <w:rsid w:val="008D5926"/>
    <w:rsid w:val="008D786F"/>
    <w:rsid w:val="008E1DD2"/>
    <w:rsid w:val="008E2BFA"/>
    <w:rsid w:val="008E46DD"/>
    <w:rsid w:val="008F07F8"/>
    <w:rsid w:val="008F2DE2"/>
    <w:rsid w:val="008F4E0B"/>
    <w:rsid w:val="008F7847"/>
    <w:rsid w:val="009022AC"/>
    <w:rsid w:val="00907866"/>
    <w:rsid w:val="00910099"/>
    <w:rsid w:val="00912C23"/>
    <w:rsid w:val="00914115"/>
    <w:rsid w:val="00920602"/>
    <w:rsid w:val="009313C5"/>
    <w:rsid w:val="00943D14"/>
    <w:rsid w:val="009453E1"/>
    <w:rsid w:val="009571D7"/>
    <w:rsid w:val="009666A1"/>
    <w:rsid w:val="00982A2C"/>
    <w:rsid w:val="009860F9"/>
    <w:rsid w:val="00997DD9"/>
    <w:rsid w:val="009A199C"/>
    <w:rsid w:val="009A52E2"/>
    <w:rsid w:val="009C4B98"/>
    <w:rsid w:val="009D36D2"/>
    <w:rsid w:val="009E3824"/>
    <w:rsid w:val="009F53BB"/>
    <w:rsid w:val="009F6CE7"/>
    <w:rsid w:val="00A0404F"/>
    <w:rsid w:val="00A07960"/>
    <w:rsid w:val="00A102EC"/>
    <w:rsid w:val="00A2191D"/>
    <w:rsid w:val="00A23301"/>
    <w:rsid w:val="00A41250"/>
    <w:rsid w:val="00A417C1"/>
    <w:rsid w:val="00A41C9F"/>
    <w:rsid w:val="00A41D4E"/>
    <w:rsid w:val="00A42AFC"/>
    <w:rsid w:val="00A4336F"/>
    <w:rsid w:val="00A47837"/>
    <w:rsid w:val="00A52A8F"/>
    <w:rsid w:val="00A640FF"/>
    <w:rsid w:val="00A66C5C"/>
    <w:rsid w:val="00A76C25"/>
    <w:rsid w:val="00A818AF"/>
    <w:rsid w:val="00A83B38"/>
    <w:rsid w:val="00A86F0F"/>
    <w:rsid w:val="00A96330"/>
    <w:rsid w:val="00AA3899"/>
    <w:rsid w:val="00AA6010"/>
    <w:rsid w:val="00AD17BD"/>
    <w:rsid w:val="00AD6EC2"/>
    <w:rsid w:val="00AE4C26"/>
    <w:rsid w:val="00AF2204"/>
    <w:rsid w:val="00B012F3"/>
    <w:rsid w:val="00B04C38"/>
    <w:rsid w:val="00B1273F"/>
    <w:rsid w:val="00B20AD6"/>
    <w:rsid w:val="00B2268F"/>
    <w:rsid w:val="00B53493"/>
    <w:rsid w:val="00B558AB"/>
    <w:rsid w:val="00B55D18"/>
    <w:rsid w:val="00B56CC8"/>
    <w:rsid w:val="00B61C86"/>
    <w:rsid w:val="00B65281"/>
    <w:rsid w:val="00B668FB"/>
    <w:rsid w:val="00B76B8E"/>
    <w:rsid w:val="00B8347A"/>
    <w:rsid w:val="00B847BD"/>
    <w:rsid w:val="00BA45AE"/>
    <w:rsid w:val="00BA4F4A"/>
    <w:rsid w:val="00BA66AD"/>
    <w:rsid w:val="00BB49AA"/>
    <w:rsid w:val="00BC2DD3"/>
    <w:rsid w:val="00BC4C0D"/>
    <w:rsid w:val="00BC67B1"/>
    <w:rsid w:val="00BD0367"/>
    <w:rsid w:val="00BD6DF6"/>
    <w:rsid w:val="00BD7CF3"/>
    <w:rsid w:val="00BD7FF0"/>
    <w:rsid w:val="00BE16D4"/>
    <w:rsid w:val="00BF2C53"/>
    <w:rsid w:val="00C000C3"/>
    <w:rsid w:val="00C02E60"/>
    <w:rsid w:val="00C03A9E"/>
    <w:rsid w:val="00C10095"/>
    <w:rsid w:val="00C16652"/>
    <w:rsid w:val="00C240FD"/>
    <w:rsid w:val="00C24374"/>
    <w:rsid w:val="00C302EF"/>
    <w:rsid w:val="00C61CD9"/>
    <w:rsid w:val="00C63B32"/>
    <w:rsid w:val="00C74C53"/>
    <w:rsid w:val="00C75C44"/>
    <w:rsid w:val="00C97431"/>
    <w:rsid w:val="00CB30C9"/>
    <w:rsid w:val="00CB7816"/>
    <w:rsid w:val="00CF1A0B"/>
    <w:rsid w:val="00D22658"/>
    <w:rsid w:val="00D241D3"/>
    <w:rsid w:val="00D24EC3"/>
    <w:rsid w:val="00D253E1"/>
    <w:rsid w:val="00D27FA8"/>
    <w:rsid w:val="00D35C25"/>
    <w:rsid w:val="00D365D3"/>
    <w:rsid w:val="00D41EC2"/>
    <w:rsid w:val="00D42F7B"/>
    <w:rsid w:val="00D539CD"/>
    <w:rsid w:val="00D55089"/>
    <w:rsid w:val="00D56F7D"/>
    <w:rsid w:val="00D65684"/>
    <w:rsid w:val="00D816BD"/>
    <w:rsid w:val="00D97F82"/>
    <w:rsid w:val="00DA76FA"/>
    <w:rsid w:val="00DB2B49"/>
    <w:rsid w:val="00DC1997"/>
    <w:rsid w:val="00DC28FE"/>
    <w:rsid w:val="00DC290C"/>
    <w:rsid w:val="00DC33B4"/>
    <w:rsid w:val="00DD4656"/>
    <w:rsid w:val="00DF01DF"/>
    <w:rsid w:val="00DF02F1"/>
    <w:rsid w:val="00E01036"/>
    <w:rsid w:val="00E018FB"/>
    <w:rsid w:val="00E106E2"/>
    <w:rsid w:val="00E134ED"/>
    <w:rsid w:val="00E135C8"/>
    <w:rsid w:val="00E21DC0"/>
    <w:rsid w:val="00E26331"/>
    <w:rsid w:val="00E27CBE"/>
    <w:rsid w:val="00E34EC1"/>
    <w:rsid w:val="00E43EEF"/>
    <w:rsid w:val="00E61E5F"/>
    <w:rsid w:val="00E64ED0"/>
    <w:rsid w:val="00E66A44"/>
    <w:rsid w:val="00E6763B"/>
    <w:rsid w:val="00E80AF6"/>
    <w:rsid w:val="00EB58BD"/>
    <w:rsid w:val="00EC0FFC"/>
    <w:rsid w:val="00EC2D0D"/>
    <w:rsid w:val="00ED2E33"/>
    <w:rsid w:val="00ED3024"/>
    <w:rsid w:val="00ED71B6"/>
    <w:rsid w:val="00EE5474"/>
    <w:rsid w:val="00EE75D1"/>
    <w:rsid w:val="00EF0E10"/>
    <w:rsid w:val="00EF2076"/>
    <w:rsid w:val="00EF2AFB"/>
    <w:rsid w:val="00EF6B77"/>
    <w:rsid w:val="00F100EE"/>
    <w:rsid w:val="00F1671F"/>
    <w:rsid w:val="00F24091"/>
    <w:rsid w:val="00F2547C"/>
    <w:rsid w:val="00F27D76"/>
    <w:rsid w:val="00F33D5C"/>
    <w:rsid w:val="00F3721E"/>
    <w:rsid w:val="00F42113"/>
    <w:rsid w:val="00F431FB"/>
    <w:rsid w:val="00F44278"/>
    <w:rsid w:val="00F5004E"/>
    <w:rsid w:val="00F53ACB"/>
    <w:rsid w:val="00F56675"/>
    <w:rsid w:val="00F60E46"/>
    <w:rsid w:val="00F6184E"/>
    <w:rsid w:val="00F8007E"/>
    <w:rsid w:val="00F81C8A"/>
    <w:rsid w:val="00F82C5B"/>
    <w:rsid w:val="00F84805"/>
    <w:rsid w:val="00FA2B02"/>
    <w:rsid w:val="00FA4261"/>
    <w:rsid w:val="00FB1115"/>
    <w:rsid w:val="00FB4AE4"/>
    <w:rsid w:val="00FB6151"/>
    <w:rsid w:val="00FE7A02"/>
    <w:rsid w:val="00FF1C0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6B9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FA4261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102EC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E134ED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szCs w:val="20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102EC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134ED"/>
    <w:rPr>
      <w:rFonts w:asciiTheme="majorHAnsi" w:eastAsia="Times New Roman" w:hAnsiTheme="majorHAnsi" w:cs="Times New Roman"/>
      <w:b/>
      <w:bCs/>
      <w:sz w:val="20"/>
      <w:szCs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1"/>
      </w:numPr>
    </w:pPr>
  </w:style>
  <w:style w:type="paragraph" w:styleId="Title">
    <w:name w:val="Title"/>
    <w:basedOn w:val="Heading1"/>
    <w:next w:val="BodyText"/>
    <w:link w:val="TitleChar"/>
    <w:qFormat/>
    <w:rsid w:val="00FA4261"/>
    <w:pPr>
      <w:spacing w:before="0" w:after="360"/>
    </w:pPr>
    <w:rPr>
      <w:color w:val="034EA2" w:themeColor="accent1"/>
      <w:sz w:val="104"/>
    </w:rPr>
  </w:style>
  <w:style w:type="character" w:customStyle="1" w:styleId="TitleChar">
    <w:name w:val="Title Char"/>
    <w:basedOn w:val="DefaultParagraphFont"/>
    <w:link w:val="Title"/>
    <w:rsid w:val="00FA4261"/>
    <w:rPr>
      <w:rFonts w:asciiTheme="majorHAnsi" w:eastAsia="Times New Roman" w:hAnsiTheme="majorHAnsi" w:cs="Arial"/>
      <w:b/>
      <w:bCs/>
      <w:color w:val="034EA2" w:themeColor="accent1"/>
      <w:sz w:val="104"/>
      <w:szCs w:val="40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21"/>
    <w:qFormat/>
    <w:rsid w:val="00094C0B"/>
    <w:pPr>
      <w:numPr>
        <w:numId w:val="17"/>
      </w:numPr>
    </w:pPr>
  </w:style>
  <w:style w:type="table" w:customStyle="1" w:styleId="DHATable">
    <w:name w:val="DHA Table"/>
    <w:basedOn w:val="TableNormal"/>
    <w:uiPriority w:val="99"/>
    <w:rsid w:val="002D4927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Normal"/>
    <w:next w:val="Normal"/>
    <w:uiPriority w:val="99"/>
    <w:rsid w:val="00FA4261"/>
    <w:pPr>
      <w:keepNext/>
      <w:keepLines/>
      <w:widowControl w:val="0"/>
      <w:spacing w:after="480"/>
      <w:outlineLvl w:val="0"/>
    </w:pPr>
    <w:rPr>
      <w:rFonts w:asciiTheme="majorHAnsi" w:eastAsia="Times New Roman" w:hAnsiTheme="majorHAnsi" w:cs="Arial"/>
      <w:b/>
      <w:bCs/>
      <w:color w:val="034EA2" w:themeColor="accent1"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39"/>
    <w:rsid w:val="00FA4261"/>
    <w:pPr>
      <w:keepNext/>
      <w:tabs>
        <w:tab w:val="left" w:pos="567"/>
        <w:tab w:val="left" w:pos="851"/>
        <w:tab w:val="right" w:pos="9338"/>
      </w:tabs>
      <w:spacing w:before="120" w:after="120" w:line="264" w:lineRule="auto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FA4261"/>
    <w:pPr>
      <w:tabs>
        <w:tab w:val="left" w:pos="1134"/>
        <w:tab w:val="right" w:pos="9338"/>
      </w:tabs>
      <w:spacing w:before="60" w:after="60" w:line="264" w:lineRule="auto"/>
      <w:ind w:right="284" w:firstLine="567"/>
    </w:pPr>
    <w:rPr>
      <w:noProof/>
    </w:rPr>
  </w:style>
  <w:style w:type="paragraph" w:styleId="TOC3">
    <w:name w:val="toc 3"/>
    <w:basedOn w:val="Normal"/>
    <w:next w:val="Normal"/>
    <w:uiPriority w:val="39"/>
    <w:rsid w:val="009666A1"/>
    <w:pPr>
      <w:tabs>
        <w:tab w:val="left" w:pos="1985"/>
        <w:tab w:val="right" w:pos="9338"/>
      </w:tabs>
      <w:spacing w:before="60" w:after="60"/>
      <w:ind w:left="1134" w:right="567"/>
    </w:pPr>
    <w:rPr>
      <w:noProof/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2"/>
    <w:qFormat/>
    <w:rsid w:val="00662FA6"/>
    <w:pPr>
      <w:spacing w:before="120" w:after="120"/>
    </w:pPr>
    <w:rPr>
      <w:b/>
    </w:rPr>
  </w:style>
  <w:style w:type="paragraph" w:customStyle="1" w:styleId="TableText">
    <w:name w:val="Table Text"/>
    <w:basedOn w:val="Normal"/>
    <w:uiPriority w:val="3"/>
    <w:qFormat/>
    <w:rsid w:val="003A08A5"/>
    <w:pPr>
      <w:spacing w:before="60" w:after="60"/>
    </w:p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12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666A1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34"/>
    <w:qFormat/>
    <w:rsid w:val="00247BEF"/>
    <w:pPr>
      <w:numPr>
        <w:numId w:val="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qFormat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12"/>
    <w:qFormat/>
    <w:rsid w:val="001E2C91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</w:rPr>
  </w:style>
  <w:style w:type="paragraph" w:customStyle="1" w:styleId="Tablebody">
    <w:name w:val="Table body"/>
    <w:basedOn w:val="Normal"/>
    <w:uiPriority w:val="12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786081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99"/>
    <w:qFormat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21"/>
    <w:rsid w:val="00997DD9"/>
    <w:pPr>
      <w:numPr>
        <w:numId w:val="17"/>
      </w:numPr>
    </w:pPr>
  </w:style>
  <w:style w:type="paragraph" w:styleId="ListNumber3">
    <w:name w:val="List Number 3"/>
    <w:basedOn w:val="ListBullet3"/>
    <w:uiPriority w:val="21"/>
    <w:rsid w:val="002C1965"/>
    <w:pPr>
      <w:numPr>
        <w:numId w:val="17"/>
      </w:numPr>
      <w:ind w:hanging="143"/>
    </w:pPr>
  </w:style>
  <w:style w:type="paragraph" w:styleId="ListNumber4">
    <w:name w:val="List Number 4"/>
    <w:basedOn w:val="ListNumber0"/>
    <w:uiPriority w:val="21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4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ind w:left="3402" w:hanging="567"/>
    </w:p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paragraph" w:customStyle="1" w:styleId="CoveringDeleteMe">
    <w:name w:val="Covering DeleteMe"/>
    <w:basedOn w:val="Normal"/>
    <w:semiHidden/>
    <w:rsid w:val="008F7847"/>
    <w:pPr>
      <w:spacing w:after="120"/>
      <w:jc w:val="center"/>
    </w:pPr>
    <w:rPr>
      <w:b/>
      <w:color w:val="C00000"/>
    </w:r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247BEF"/>
    <w:rPr>
      <w:rFonts w:eastAsia="Times New Roman" w:cs="Times New Roman"/>
      <w:sz w:val="20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14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14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8D36D0"/>
    <w:pPr>
      <w:keepLines w:val="0"/>
      <w:numPr>
        <w:ilvl w:val="2"/>
        <w:numId w:val="14"/>
      </w:numPr>
    </w:pPr>
    <w:rPr>
      <w:rFonts w:eastAsiaTheme="minorHAnsi" w:cstheme="minorBidi"/>
      <w:b w:val="0"/>
      <w:bCs w:val="0"/>
      <w:color w:val="000000" w:themeColor="text1"/>
      <w:sz w:val="24"/>
      <w:szCs w:val="20"/>
      <w:lang w:eastAsia="en-US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8D36D0"/>
    <w:pPr>
      <w:keepLines w:val="0"/>
      <w:numPr>
        <w:ilvl w:val="3"/>
        <w:numId w:val="14"/>
      </w:numPr>
      <w:spacing w:line="264" w:lineRule="auto"/>
    </w:pPr>
    <w:rPr>
      <w:rFonts w:eastAsiaTheme="minorHAnsi" w:cstheme="minorBidi"/>
      <w:b w:val="0"/>
      <w:bCs w:val="0"/>
      <w:color w:val="000000" w:themeColor="text1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8D36D0"/>
    <w:pPr>
      <w:keepLines w:val="0"/>
      <w:numPr>
        <w:ilvl w:val="4"/>
        <w:numId w:val="14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aliases w:val="List Bullet 1"/>
    <w:basedOn w:val="Normal"/>
    <w:uiPriority w:val="99"/>
    <w:qFormat/>
    <w:rsid w:val="00094C0B"/>
    <w:pPr>
      <w:numPr>
        <w:numId w:val="16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22"/>
    <w:qFormat/>
    <w:rsid w:val="00094C0B"/>
    <w:pPr>
      <w:numPr>
        <w:numId w:val="1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Alpha3"/>
    <w:uiPriority w:val="22"/>
    <w:rsid w:val="00E134ED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E134ED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E134ED"/>
    <w:pPr>
      <w:numPr>
        <w:ilvl w:val="2"/>
      </w:numPr>
    </w:pPr>
  </w:style>
  <w:style w:type="paragraph" w:customStyle="1" w:styleId="ListAlpha2">
    <w:name w:val="List Alpha 2"/>
    <w:basedOn w:val="ListAlpha0"/>
    <w:uiPriority w:val="22"/>
    <w:qFormat/>
    <w:rsid w:val="001E2C91"/>
    <w:pPr>
      <w:numPr>
        <w:ilvl w:val="1"/>
        <w:numId w:val="15"/>
      </w:numPr>
    </w:pPr>
  </w:style>
  <w:style w:type="paragraph" w:styleId="ListNumber5">
    <w:name w:val="List Number 5"/>
    <w:basedOn w:val="ListNumber0"/>
    <w:uiPriority w:val="21"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47B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dparagraph">
    <w:name w:val="Lined paragraph"/>
    <w:basedOn w:val="BodyText"/>
    <w:uiPriority w:val="19"/>
    <w:qFormat/>
    <w:rsid w:val="00620224"/>
    <w:pPr>
      <w:keepLines/>
      <w:pBdr>
        <w:bottom w:val="single" w:sz="4" w:space="9" w:color="D9D9D9" w:themeColor="background2" w:themeShade="D9"/>
        <w:between w:val="single" w:sz="4" w:space="1" w:color="D9D9D9" w:themeColor="background2" w:themeShade="D9"/>
      </w:pBdr>
      <w:spacing w:before="0" w:line="240" w:lineRule="auto"/>
    </w:pPr>
    <w:rPr>
      <w:rFonts w:eastAsiaTheme="minorHAnsi" w:cstheme="minorBidi"/>
      <w:color w:val="000000" w:themeColor="text1"/>
      <w:szCs w:val="20"/>
      <w:lang w:eastAsia="en-US"/>
    </w:rPr>
  </w:style>
  <w:style w:type="paragraph" w:styleId="ListBullet5">
    <w:name w:val="List Bullet 5"/>
    <w:basedOn w:val="Normal"/>
    <w:uiPriority w:val="20"/>
    <w:rsid w:val="00A23301"/>
    <w:pPr>
      <w:numPr>
        <w:numId w:val="18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FA4261"/>
    <w:pPr>
      <w:numPr>
        <w:ilvl w:val="1"/>
      </w:numPr>
      <w:spacing w:after="160"/>
    </w:pPr>
    <w:rPr>
      <w:rFonts w:eastAsiaTheme="minorEastAsia"/>
      <w:b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FA4261"/>
    <w:rPr>
      <w:rFonts w:eastAsiaTheme="minorEastAsia"/>
      <w:b/>
      <w:spacing w:val="15"/>
      <w:sz w:val="36"/>
    </w:rPr>
  </w:style>
  <w:style w:type="paragraph" w:customStyle="1" w:styleId="Bullet1">
    <w:name w:val="Bullet 1"/>
    <w:basedOn w:val="ListBullet2"/>
    <w:qFormat/>
    <w:rsid w:val="00E43EEF"/>
    <w:pPr>
      <w:numPr>
        <w:ilvl w:val="0"/>
        <w:numId w:val="28"/>
      </w:numPr>
      <w:spacing w:before="0" w:after="200" w:line="276" w:lineRule="auto"/>
      <w:contextualSpacing/>
    </w:pPr>
    <w:rPr>
      <w:rFonts w:ascii="Calibri" w:eastAsia="Calibri" w:hAnsi="Calibri" w:cs="Calibri"/>
      <w:w w:val="105"/>
      <w:kern w:val="4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EE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EE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semiHidden/>
    <w:unhideWhenUsed/>
    <w:rsid w:val="00E43EE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7C97419935415DA52F56D7A3A5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F0E7-53F0-470E-947D-66D011CC5D3A}"/>
      </w:docPartPr>
      <w:docPartBody>
        <w:p w:rsidR="00E56570" w:rsidRDefault="00E56570">
          <w:pPr>
            <w:pStyle w:val="477C97419935415DA52F56D7A3A5AA4D"/>
          </w:pPr>
          <w:r w:rsidRPr="00A23301">
            <w:t>[Document Title]</w:t>
          </w:r>
        </w:p>
      </w:docPartBody>
    </w:docPart>
    <w:docPart>
      <w:docPartPr>
        <w:name w:val="D9A66DF589AA4FDE999586932551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AB62-E57E-45D6-A97D-5A86B411F5DB}"/>
      </w:docPartPr>
      <w:docPartBody>
        <w:p w:rsidR="00E56570" w:rsidRDefault="00E56570">
          <w:pPr>
            <w:pStyle w:val="D9A66DF589AA4FDE999586932551F91C"/>
          </w:pPr>
          <w:r w:rsidRPr="009A52E2">
            <w:rPr>
              <w:rStyle w:val="PlaceholderText"/>
              <w:sz w:val="16"/>
              <w:szCs w:val="16"/>
            </w:rPr>
            <w:t>[Document Title]</w:t>
          </w:r>
        </w:p>
      </w:docPartBody>
    </w:docPart>
    <w:docPart>
      <w:docPartPr>
        <w:name w:val="A9D134BEC9094E2AA2D39710CF65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DE12-5006-440A-B675-F45388B6DB36}"/>
      </w:docPartPr>
      <w:docPartBody>
        <w:p w:rsidR="00A81703" w:rsidRDefault="002006BD" w:rsidP="002006BD">
          <w:pPr>
            <w:pStyle w:val="A9D134BEC9094E2AA2D39710CF65AD83"/>
          </w:pPr>
          <w:r w:rsidRPr="00A23301"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0"/>
    <w:rsid w:val="002006BD"/>
    <w:rsid w:val="0036010F"/>
    <w:rsid w:val="00616E01"/>
    <w:rsid w:val="00A81703"/>
    <w:rsid w:val="00E5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CC84EB44014A1997BB8072A6A186F3">
    <w:name w:val="22CC84EB44014A1997BB8072A6A186F3"/>
  </w:style>
  <w:style w:type="paragraph" w:customStyle="1" w:styleId="7958307D14054E4EA1051B0076D14E55">
    <w:name w:val="7958307D14054E4EA1051B0076D14E55"/>
  </w:style>
  <w:style w:type="paragraph" w:customStyle="1" w:styleId="477C97419935415DA52F56D7A3A5AA4D">
    <w:name w:val="477C97419935415DA52F56D7A3A5AA4D"/>
  </w:style>
  <w:style w:type="paragraph" w:customStyle="1" w:styleId="D9A66DF589AA4FDE999586932551F91C">
    <w:name w:val="D9A66DF589AA4FDE999586932551F91C"/>
  </w:style>
  <w:style w:type="paragraph" w:customStyle="1" w:styleId="A9D134BEC9094E2AA2D39710CF65AD83">
    <w:name w:val="A9D134BEC9094E2AA2D39710CF65AD83"/>
    <w:rsid w:val="00200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5_019 xmlns="dcdc8d3b-a33f-42de-8d6f-6f68f2e06e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D278C4026134EB9F244A349267DEC" ma:contentTypeVersion="3" ma:contentTypeDescription="Create a new document." ma:contentTypeScope="" ma:versionID="4447bfaadd4db8fade4298a5ce2e4d93">
  <xsd:schema xmlns:xsd="http://www.w3.org/2001/XMLSchema" xmlns:xs="http://www.w3.org/2001/XMLSchema" xmlns:p="http://schemas.microsoft.com/office/2006/metadata/properties" xmlns:ns1="http://schemas.microsoft.com/sharepoint/v3" xmlns:ns2="7483a812-a475-45ae-8bc7-e27bd3884b1a" xmlns:ns3="dcdc8d3b-a33f-42de-8d6f-6f68f2e06e3c" targetNamespace="http://schemas.microsoft.com/office/2006/metadata/properties" ma:root="true" ma:fieldsID="ff51fdf367e89de8ba0c0ff666180f51" ns1:_="" ns2:_="" ns3:_="">
    <xsd:import namespace="http://schemas.microsoft.com/sharepoint/v3"/>
    <xsd:import namespace="7483a812-a475-45ae-8bc7-e27bd3884b1a"/>
    <xsd:import namespace="dcdc8d3b-a33f-42de-8d6f-6f68f2e06e3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x0065_01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a812-a475-45ae-8bc7-e27bd388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8d3b-a33f-42de-8d6f-6f68f2e06e3c" elementFormDefault="qualified">
    <xsd:import namespace="http://schemas.microsoft.com/office/2006/documentManagement/types"/>
    <xsd:import namespace="http://schemas.microsoft.com/office/infopath/2007/PartnerControls"/>
    <xsd:element name="_x0065_019" ma:index="11" nillable="true" ma:displayName="Date and Time" ma:internalName="_x0065_019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C4B25-C95B-40CC-A3BB-77C2516757D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522FFF-819A-4111-B18F-9CDFD71524FB}"/>
</file>

<file path=customXml/itemProps3.xml><?xml version="1.0" encoding="utf-8"?>
<ds:datastoreItem xmlns:ds="http://schemas.openxmlformats.org/officeDocument/2006/customXml" ds:itemID="{C3615519-30D3-4F77-8688-DABB917E5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DRFA 2018 - Guideline 5 - Process for determining a terrorist act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DRFA 2018 - Guideline 5 - Process for determining a terrorist act</dc:title>
  <dc:creator/>
  <cp:lastModifiedBy/>
  <cp:revision>1</cp:revision>
  <dcterms:created xsi:type="dcterms:W3CDTF">2022-09-15T03:12:00Z</dcterms:created>
  <dcterms:modified xsi:type="dcterms:W3CDTF">2022-09-16T04:17:00Z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0x010100181D278C4026134EB9F244A349267DEC</vt:lpwstr>
  </property>
  <property fmtid="{D5CDD505-2E9C-101B-9397-08002B2CF9AE}" pid="3" name="TemplateUrl">
    <vt:lpwstr/>
  </property>
  <property fmtid="{D5CDD505-2E9C-101B-9397-08002B2CF9AE}" pid="4" name="Order">
    <vt:r8>13900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